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誓約書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阪南市長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あて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私は、災害用備蓄食の提供に伴い、下記の事項を厳守することを誓約いたします。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１．賞味期限内に活用し、食品を廃棄しないこと。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２．防災啓発を目的とした活用を行い、営利的、宗教的、政治的目的での利用をしないこと。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３．阪南市暴力団排除条例第２条に定義される者、及びその者と密接な関係でないこと。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４．配布を行うまでは、保存方法等を守った適切な管理に努め、配布時は配布者に対し、食料アレルギーの有無を確認した上で配布をすること。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５．配布した災害用備蓄食を転売しないこと。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６．使用によって発生した事柄についての一切の責任は、代表者が負うこと。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年　　　　月　　　　日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965" w:leftChars="225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企業・団体名：</w:t>
      </w:r>
    </w:p>
    <w:p>
      <w:pPr>
        <w:pStyle w:val="0"/>
        <w:ind w:left="4965" w:leftChars="225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965" w:leftChars="225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965" w:leftChars="225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：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289</Characters>
  <Application>JUST Note</Application>
  <Lines>35</Lines>
  <Paragraphs>14</Paragraphs>
  <CharactersWithSpaces>325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2024-10-02T05:49:00Z</dcterms:created>
  <dcterms:modified xsi:type="dcterms:W3CDTF">2024-10-10T05:50:51Z</dcterms:modified>
  <cp:revision>4</cp:revision>
</cp:coreProperties>
</file>