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33" w:tblpY="36"/>
        <w:tblOverlap w:val="never"/>
        <w:tblW w:w="9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2"/>
        <w:gridCol w:w="3255"/>
        <w:gridCol w:w="3336"/>
      </w:tblGrid>
      <w:tr>
        <w:trPr>
          <w:trHeight w:val="400" w:hRule="atLeast"/>
        </w:trPr>
        <w:tc>
          <w:tcPr>
            <w:tcW w:w="973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14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333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kinsoku w:val="0"/>
        <w:autoSpaceDE w:val="0"/>
        <w:autoSpaceDN w:val="0"/>
        <w:spacing w:line="366" w:lineRule="atLeast"/>
        <w:ind w:left="281" w:hanging="281" w:hangingChars="117"/>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960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rHeight w:val="12632" w:hRule="atLeast"/>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5"/>
              <w:tblW w:w="0" w:type="auto"/>
              <w:jc w:val="left"/>
              <w:tblInd w:w="315" w:type="dxa"/>
              <w:tblLayout w:type="fixed"/>
              <w:tblLook w:firstRow="1" w:lastRow="0" w:firstColumn="1" w:lastColumn="0" w:noHBand="0" w:noVBand="1" w:val="04A0"/>
            </w:tblPr>
            <w:tblGrid>
              <w:gridCol w:w="2897"/>
              <w:gridCol w:w="2897"/>
              <w:gridCol w:w="2897"/>
            </w:tblGrid>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事業開始年月日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①原油等の仕入単価の上昇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Ｅ</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p>
          <w:p>
            <w:pPr>
              <w:pStyle w:val="0"/>
              <w:suppressAutoHyphens w:val="1"/>
              <w:kinsoku w:val="0"/>
              <w:wordWrap w:val="0"/>
              <w:overflowPunct w:val="0"/>
              <w:autoSpaceDE w:val="0"/>
              <w:autoSpaceDN w:val="0"/>
              <w:adjustRightInd w:val="0"/>
              <w:spacing w:line="240" w:lineRule="exact"/>
              <w:ind w:left="0" w:leftChars="0" w:rightChars="0" w:firstLine="0" w:firstLineChars="0"/>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kern w:val="0"/>
                <w:sz w:val="21"/>
              </w:rPr>
              <w:t>ｅ×</w:t>
            </w:r>
            <w:r>
              <w:rPr>
                <w:rFonts w:hint="default" w:ascii="ＭＳ ゴシック" w:hAnsi="ＭＳ ゴシック" w:eastAsia="ＭＳ ゴシック"/>
                <w:color w:val="000000"/>
                <w:kern w:val="0"/>
                <w:sz w:val="21"/>
              </w:rPr>
              <w:t>100</w:t>
            </w:r>
            <w:r>
              <w:rPr>
                <w:rFonts w:hint="eastAsia" w:ascii="ＭＳ ゴシック" w:hAnsi="ＭＳ ゴシック" w:eastAsia="ＭＳ ゴシック"/>
                <w:color w:val="000000"/>
                <w:kern w:val="0"/>
                <w:sz w:val="21"/>
              </w:rPr>
              <w:t>－</w:t>
            </w:r>
            <w:r>
              <w:rPr>
                <w:rFonts w:hint="default" w:ascii="ＭＳ ゴシック" w:hAnsi="ＭＳ ゴシック" w:eastAsia="ＭＳ ゴシック"/>
                <w:color w:val="000000"/>
                <w:kern w:val="0"/>
                <w:sz w:val="21"/>
              </w:rPr>
              <w:t>100</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w w:val="100"/>
                <w:kern w:val="0"/>
                <w:sz w:val="21"/>
                <w:u w:val="single" w:color="auto"/>
              </w:rPr>
              <w:t>指定業種に係る</w:t>
            </w:r>
            <w:r>
              <w:rPr>
                <w:rFonts w:hint="eastAsia" w:ascii="ＭＳ ゴシック" w:hAnsi="ＭＳ ゴシック" w:eastAsia="ＭＳ ゴシック"/>
                <w:color w:val="000000"/>
                <w:w w:val="100"/>
                <w:kern w:val="0"/>
                <w:sz w:val="21"/>
                <w:u w:val="single" w:color="000000"/>
              </w:rPr>
              <w:t>上昇率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Ｅ：原油等の最近１か月間における平均仕入れ単価</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u w:val="single" w:color="auto"/>
              </w:rPr>
              <w:t>指定業種に係る</w:t>
            </w:r>
            <w:r>
              <w:rPr>
                <w:rFonts w:hint="eastAsia" w:ascii="ＭＳ ゴシック" w:hAnsi="ＭＳ ゴシック" w:eastAsia="ＭＳ ゴシック"/>
                <w:color w:val="000000"/>
                <w:w w:val="100"/>
                <w:kern w:val="0"/>
                <w:sz w:val="21"/>
                <w:u w:val="single" w:color="000000"/>
              </w:rPr>
              <w:t>平均仕入単価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　　年　　月）</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ｅ：Ｅの期間に対応する前年１か月間の平均仕入れ単価</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u w:val="single" w:color="auto"/>
              </w:rPr>
              <w:t>指定業種に係る</w:t>
            </w:r>
            <w:r>
              <w:rPr>
                <w:rFonts w:hint="eastAsia" w:ascii="ＭＳ ゴシック" w:hAnsi="ＭＳ ゴシック" w:eastAsia="ＭＳ ゴシック"/>
                <w:color w:val="000000"/>
                <w:w w:val="100"/>
                <w:kern w:val="0"/>
                <w:sz w:val="21"/>
                <w:u w:val="single" w:color="000000"/>
              </w:rPr>
              <w:t>平均仕入単価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円</w:t>
            </w:r>
          </w:p>
          <w:p>
            <w:pPr>
              <w:pStyle w:val="0"/>
              <w:suppressAutoHyphens w:val="1"/>
              <w:kinsoku w:val="0"/>
              <w:wordWrap w:val="0"/>
              <w:overflowPunct w:val="0"/>
              <w:autoSpaceDE w:val="0"/>
              <w:autoSpaceDN w:val="0"/>
              <w:adjustRightInd w:val="0"/>
              <w:spacing w:line="240" w:lineRule="exact"/>
              <w:ind w:left="0" w:leftChars="0" w:firstLine="1050" w:firstLineChars="500"/>
              <w:jc w:val="lef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　　年</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　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②原油等が売上原価に占める割合</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default"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Ｓ</w:t>
            </w:r>
            <w:r>
              <w:rPr>
                <w:rFonts w:hint="default" w:ascii="ＭＳ ゴシック" w:hAnsi="ＭＳ ゴシック" w:eastAsia="ＭＳ ゴシック"/>
                <w:color w:val="000000"/>
                <w:w w:val="100"/>
                <w:kern w:val="0"/>
                <w:sz w:val="21"/>
                <w:u w:val="none" w:color="000000"/>
              </w:rPr>
              <w:t xml:space="preserve"> </w:t>
            </w:r>
            <w:r>
              <w:rPr>
                <w:rFonts w:hint="eastAsia" w:ascii="ＭＳ ゴシック" w:hAnsi="ＭＳ ゴシック" w:eastAsia="ＭＳ ゴシック"/>
                <w:color w:val="000000"/>
                <w:w w:val="100"/>
                <w:kern w:val="0"/>
                <w:sz w:val="21"/>
                <w:u w:val="none" w:color="000000"/>
              </w:rPr>
              <w:t>　　　　　　　　　　　　　　　　　　　　　</w:t>
            </w:r>
            <w:r>
              <w:rPr>
                <w:rFonts w:hint="eastAsia" w:ascii="ＭＳ ゴシック" w:hAnsi="ＭＳ ゴシック" w:eastAsia="ＭＳ ゴシック"/>
                <w:color w:val="000000"/>
                <w:w w:val="100"/>
                <w:kern w:val="0"/>
                <w:sz w:val="21"/>
                <w:u w:val="single" w:color="auto"/>
              </w:rPr>
              <w:t>指定業種に係る依存率</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Ｃ</w:t>
            </w:r>
            <w:r>
              <w:rPr>
                <w:rFonts w:hint="default"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w:t>
            </w:r>
            <w:r>
              <w:rPr>
                <w:rFonts w:hint="default" w:ascii="ＭＳ ゴシック" w:hAnsi="ＭＳ ゴシック" w:eastAsia="ＭＳ ゴシック"/>
                <w:color w:val="000000"/>
                <w:w w:val="100"/>
                <w:kern w:val="0"/>
                <w:sz w:val="21"/>
              </w:rPr>
              <w:t xml:space="preserve">100   </w:t>
            </w:r>
            <w:r>
              <w:rPr>
                <w:rFonts w:hint="eastAsia" w:ascii="ＭＳ ゴシック" w:hAnsi="ＭＳ ゴシック" w:eastAsia="ＭＳ ゴシック"/>
                <w:color w:val="000000"/>
                <w:w w:val="100"/>
                <w:kern w:val="0"/>
                <w:sz w:val="21"/>
              </w:rPr>
              <w:t>　　　</w:t>
            </w:r>
            <w:r>
              <w:rPr>
                <w:rFonts w:hint="default"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　　</w:t>
            </w:r>
            <w:r>
              <w:rPr>
                <w:rFonts w:hint="default"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　　　　</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　</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u w:val="single" w:color="auto"/>
              </w:rPr>
              <w:t>全体に係る</w:t>
            </w:r>
            <w:r>
              <w:rPr>
                <w:rFonts w:hint="eastAsia" w:ascii="ＭＳ ゴシック" w:hAnsi="ＭＳ ゴシック" w:eastAsia="ＭＳ ゴシック"/>
                <w:color w:val="000000"/>
                <w:w w:val="100"/>
                <w:kern w:val="0"/>
                <w:sz w:val="21"/>
                <w:u w:val="single" w:color="000000"/>
              </w:rPr>
              <w:t>依存率</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r>
              <w:rPr>
                <w:rFonts w:hint="default"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u w:val="none" w:color="000000"/>
              </w:rPr>
              <w:t xml:space="preserve">  </w:t>
            </w:r>
            <w:r>
              <w:rPr>
                <w:rFonts w:hint="eastAsia" w:ascii="ＭＳ ゴシック" w:hAnsi="ＭＳ ゴシック" w:eastAsia="ＭＳ ゴシック"/>
                <w:color w:val="000000"/>
                <w:w w:val="100"/>
                <w:kern w:val="0"/>
                <w:sz w:val="21"/>
                <w:u w:val="single" w:color="000000"/>
              </w:rPr>
              <w:t>最近１か月間における全体の売上原価に占める指定業種の売上原価の割合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Ｃ：最近１か月の売上原価</w:t>
            </w:r>
            <w:r>
              <w:rPr>
                <w:rFonts w:hint="eastAsia" w:ascii="ＭＳ ゴシック" w:hAnsi="ＭＳ ゴシック" w:eastAsia="ＭＳ ゴシック"/>
                <w:color w:val="000000"/>
                <w:w w:val="100"/>
                <w:kern w:val="0"/>
                <w:sz w:val="21"/>
              </w:rPr>
              <w:t xml:space="preserve">                     </w:t>
            </w:r>
            <w:r>
              <w:rPr>
                <w:rFonts w:hint="eastAsia" w:ascii="ＭＳ ゴシック" w:hAnsi="ＭＳ ゴシック" w:eastAsia="ＭＳ ゴシック"/>
                <w:color w:val="000000"/>
                <w:w w:val="100"/>
                <w:kern w:val="0"/>
                <w:sz w:val="21"/>
              </w:rPr>
              <w:t>　</w:t>
            </w:r>
            <w:r>
              <w:rPr>
                <w:rFonts w:hint="eastAsia" w:ascii="ＭＳ ゴシック" w:hAnsi="ＭＳ ゴシック" w:eastAsia="ＭＳ ゴシック"/>
                <w:color w:val="000000"/>
                <w:spacing w:val="16"/>
                <w:w w:val="100"/>
                <w:kern w:val="0"/>
                <w:sz w:val="21"/>
              </w:rPr>
              <w:t xml:space="preserve">  </w:t>
            </w:r>
            <w:r>
              <w:rPr>
                <w:rFonts w:hint="eastAsia" w:ascii="ＭＳ ゴシック" w:hAnsi="ＭＳ ゴシック" w:eastAsia="ＭＳ ゴシック"/>
                <w:color w:val="000000"/>
                <w:spacing w:val="16"/>
                <w:w w:val="100"/>
                <w:kern w:val="0"/>
                <w:sz w:val="21"/>
              </w:rPr>
              <w:t>　</w:t>
            </w:r>
            <w:r>
              <w:rPr>
                <w:rFonts w:hint="eastAsia" w:ascii="ＭＳ ゴシック" w:hAnsi="ＭＳ ゴシック" w:eastAsia="ＭＳ ゴシック"/>
                <w:color w:val="000000"/>
                <w:spacing w:val="16"/>
                <w:w w:val="100"/>
                <w:kern w:val="0"/>
                <w:sz w:val="21"/>
              </w:rPr>
              <w:t xml:space="preserve"> </w:t>
            </w:r>
            <w:r>
              <w:rPr>
                <w:rFonts w:hint="eastAsia" w:ascii="ＭＳ ゴシック" w:hAnsi="ＭＳ ゴシック" w:eastAsia="ＭＳ ゴシック"/>
                <w:color w:val="000000"/>
                <w:kern w:val="0"/>
                <w:sz w:val="21"/>
                <w:u w:val="single" w:color="auto"/>
              </w:rPr>
              <w:t>指定業種に係る売上原価</w:t>
            </w:r>
            <w:r>
              <w:rPr>
                <w:rFonts w:hint="eastAsia" w:ascii="ＭＳ ゴシック" w:hAnsi="ＭＳ ゴシック" w:eastAsia="ＭＳ ゴシック"/>
                <w:color w:val="000000"/>
                <w:spacing w:val="16"/>
                <w:w w:val="100"/>
                <w:kern w:val="0"/>
                <w:sz w:val="21"/>
                <w:u w:val="single" w:color="auto"/>
              </w:rPr>
              <w:t xml:space="preserve">        </w:t>
            </w:r>
            <w:r>
              <w:rPr>
                <w:rFonts w:hint="eastAsia" w:ascii="ＭＳ ゴシック" w:hAnsi="ＭＳ ゴシック" w:eastAsia="ＭＳ ゴシック"/>
                <w:color w:val="000000"/>
                <w:w w:val="100"/>
                <w:kern w:val="0"/>
                <w:sz w:val="21"/>
                <w:u w:val="single" w:color="000000"/>
              </w:rPr>
              <w:t>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　　　　年　　　月</w:t>
            </w:r>
            <w:r>
              <w:rPr>
                <w:rFonts w:hint="eastAsia" w:ascii="ＭＳ ゴシック" w:hAnsi="ＭＳ ゴシック" w:eastAsia="ＭＳ ゴシック"/>
                <w:color w:val="000000"/>
                <w:spacing w:val="16"/>
                <w:w w:val="100"/>
                <w:kern w:val="0"/>
                <w:sz w:val="21"/>
              </w:rPr>
              <w:t>）</w:t>
            </w:r>
            <w:r>
              <w:rPr>
                <w:rFonts w:hint="eastAsia" w:ascii="ＭＳ ゴシック" w:hAnsi="ＭＳ ゴシック" w:eastAsia="ＭＳ ゴシック"/>
                <w:color w:val="000000"/>
                <w:spacing w:val="16"/>
                <w:w w:val="100"/>
                <w:kern w:val="0"/>
                <w:sz w:val="21"/>
              </w:rPr>
              <w:t xml:space="preserve">                    </w:t>
            </w:r>
            <w:r>
              <w:rPr>
                <w:rFonts w:hint="eastAsia" w:ascii="ＭＳ ゴシック" w:hAnsi="ＭＳ ゴシック" w:eastAsia="ＭＳ ゴシック"/>
                <w:color w:val="000000"/>
                <w:spacing w:val="8"/>
                <w:w w:val="100"/>
                <w:kern w:val="0"/>
                <w:sz w:val="21"/>
                <w:u w:val="single" w:color="auto"/>
              </w:rPr>
              <w:t>全体</w:t>
            </w:r>
            <w:r>
              <w:rPr>
                <w:rFonts w:hint="eastAsia" w:ascii="ＭＳ ゴシック" w:hAnsi="ＭＳ ゴシック" w:eastAsia="ＭＳ ゴシック"/>
                <w:color w:val="000000"/>
                <w:w w:val="100"/>
                <w:kern w:val="0"/>
                <w:sz w:val="21"/>
                <w:u w:val="single" w:color="auto"/>
              </w:rPr>
              <w:t>に係る売上原価</w:t>
            </w:r>
            <w:r>
              <w:rPr>
                <w:rFonts w:hint="eastAsia" w:ascii="ＭＳ ゴシック" w:hAnsi="ＭＳ ゴシック" w:eastAsia="ＭＳ ゴシック"/>
                <w:color w:val="000000"/>
                <w:spacing w:val="16"/>
                <w:w w:val="100"/>
                <w:kern w:val="0"/>
                <w:sz w:val="21"/>
                <w:u w:val="single" w:color="auto"/>
              </w:rPr>
              <w:t>　　　　　　</w:t>
            </w:r>
            <w:r>
              <w:rPr>
                <w:rFonts w:hint="eastAsia" w:ascii="ＭＳ ゴシック" w:hAnsi="ＭＳ ゴシック" w:eastAsia="ＭＳ ゴシック"/>
                <w:color w:val="000000"/>
                <w:spacing w:val="16"/>
                <w:w w:val="100"/>
                <w:kern w:val="0"/>
                <w:sz w:val="21"/>
                <w:u w:val="single" w:color="auto"/>
              </w:rPr>
              <w:t xml:space="preserve"> </w:t>
            </w:r>
            <w:r>
              <w:rPr>
                <w:rFonts w:hint="eastAsia" w:ascii="ＭＳ ゴシック" w:hAnsi="ＭＳ ゴシック" w:eastAsia="ＭＳ ゴシック"/>
                <w:color w:val="000000"/>
                <w:w w:val="100"/>
                <w:kern w:val="0"/>
                <w:sz w:val="21"/>
                <w:u w:val="single" w:color="000000"/>
              </w:rPr>
              <w:t>円</w:t>
            </w:r>
          </w:p>
          <w:p>
            <w:pPr>
              <w:pStyle w:val="0"/>
              <w:suppressAutoHyphens w:val="1"/>
              <w:kinsoku w:val="0"/>
              <w:wordWrap w:val="0"/>
              <w:overflowPunct w:val="0"/>
              <w:autoSpaceDE w:val="0"/>
              <w:autoSpaceDN w:val="0"/>
              <w:adjustRightInd w:val="0"/>
              <w:spacing w:line="240" w:lineRule="exact"/>
              <w:ind w:leftChars="0" w:rightChars="0" w:firstLine="204" w:firstLineChars="97"/>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Ｓ：Ｃの売上原価に対応する原油等の仕入額</w:t>
            </w:r>
            <w:r>
              <w:rPr>
                <w:rFonts w:hint="eastAsia" w:ascii="ＭＳ ゴシック" w:hAnsi="ＭＳ ゴシック" w:eastAsia="ＭＳ ゴシック"/>
                <w:color w:val="000000"/>
                <w:spacing w:val="16"/>
                <w:w w:val="100"/>
                <w:kern w:val="0"/>
                <w:sz w:val="21"/>
              </w:rPr>
              <w:t xml:space="preserve">       </w:t>
            </w:r>
            <w:r>
              <w:rPr>
                <w:rFonts w:hint="default" w:ascii="ＭＳ ゴシック" w:hAnsi="ＭＳ ゴシック" w:eastAsia="ＭＳ ゴシック"/>
                <w:color w:val="000000"/>
                <w:spacing w:val="16"/>
                <w:w w:val="100"/>
                <w:kern w:val="0"/>
                <w:sz w:val="21"/>
              </w:rPr>
              <w:t xml:space="preserve"> </w:t>
            </w:r>
            <w:r>
              <w:rPr>
                <w:rFonts w:hint="eastAsia" w:ascii="ＭＳ ゴシック" w:hAnsi="ＭＳ ゴシック" w:eastAsia="ＭＳ ゴシック"/>
                <w:color w:val="000000"/>
                <w:spacing w:val="16"/>
                <w:w w:val="100"/>
                <w:kern w:val="0"/>
                <w:sz w:val="21"/>
              </w:rPr>
              <w:t xml:space="preserve">  </w:t>
            </w:r>
            <w:r>
              <w:rPr>
                <w:rFonts w:hint="eastAsia" w:ascii="ＭＳ ゴシック" w:hAnsi="ＭＳ ゴシック" w:eastAsia="ＭＳ ゴシック"/>
                <w:color w:val="000000"/>
                <w:spacing w:val="16"/>
                <w:w w:val="100"/>
                <w:kern w:val="0"/>
                <w:sz w:val="21"/>
                <w:u w:val="single" w:color="auto"/>
              </w:rPr>
              <w:t>指定業種に係る仕入額</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u w:val="single" w:color="auto"/>
              </w:rPr>
              <w:t>全体に係る仕入額</w:t>
            </w:r>
            <w:r>
              <w:rPr>
                <w:rFonts w:hint="eastAsia" w:ascii="ＭＳ ゴシック" w:hAnsi="ＭＳ ゴシック" w:eastAsia="ＭＳ ゴシック"/>
                <w:color w:val="000000"/>
                <w:w w:val="100"/>
                <w:kern w:val="0"/>
                <w:sz w:val="21"/>
                <w:u w:val="single" w:color="000000"/>
              </w:rPr>
              <w:t>　　　　　　</w:t>
            </w:r>
            <w:r>
              <w:rPr>
                <w:rFonts w:hint="eastAsia" w:ascii="ＭＳ ゴシック" w:hAnsi="ＭＳ ゴシック" w:eastAsia="ＭＳ ゴシック"/>
                <w:color w:val="000000"/>
                <w:w w:val="100"/>
                <w:kern w:val="0"/>
                <w:sz w:val="21"/>
                <w:u w:val="single" w:color="000000"/>
              </w:rPr>
              <w:t xml:space="preserve">     </w:t>
            </w:r>
            <w:r>
              <w:rPr>
                <w:rFonts w:hint="eastAsia" w:ascii="ＭＳ ゴシック" w:hAnsi="ＭＳ ゴシック" w:eastAsia="ＭＳ ゴシック"/>
                <w:color w:val="000000"/>
                <w:w w:val="100"/>
                <w:kern w:val="0"/>
                <w:sz w:val="21"/>
                <w:u w:val="single" w:color="000000"/>
              </w:rPr>
              <w:t>円</w:t>
            </w:r>
          </w:p>
          <w:p>
            <w:pPr>
              <w:pStyle w:val="0"/>
              <w:suppressAutoHyphens w:val="1"/>
              <w:kinsoku w:val="0"/>
              <w:wordWrap w:val="0"/>
              <w:overflowPunct w:val="0"/>
              <w:autoSpaceDE w:val="0"/>
              <w:autoSpaceDN w:val="0"/>
              <w:adjustRightInd w:val="0"/>
              <w:spacing w:line="240" w:lineRule="exact"/>
              <w:ind w:right="840" w:rightChars="400"/>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w w:val="100"/>
                <w:kern w:val="0"/>
                <w:sz w:val="21"/>
              </w:rPr>
              <w:t>③製品等価格への転嫁の状況</w:t>
            </w:r>
          </w:p>
          <w:p>
            <w:pPr>
              <w:pStyle w:val="0"/>
              <w:tabs>
                <w:tab w:val="clear" w:pos="4252"/>
                <w:tab w:val="clear"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w w:val="100"/>
                <w:kern w:val="0"/>
                <w:sz w:val="21"/>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rightChars="0"/>
              <w:textAlignment w:val="baseline"/>
              <w:rPr>
                <w:rFonts w:hint="default" w:ascii="ＭＳ ゴシック" w:hAnsi="ＭＳ ゴシック" w:eastAsia="ＭＳ ゴシック"/>
                <w:color w:val="000000"/>
                <w:spacing w:val="16"/>
                <w:w w:val="100"/>
                <w:kern w:val="0"/>
                <w:sz w:val="21"/>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right="840" w:rightChars="400"/>
              <w:textAlignment w:val="baseline"/>
              <w:rPr>
                <w:rFonts w:hint="default" w:ascii="ＭＳ ゴシック" w:hAnsi="ＭＳ ゴシック" w:eastAsia="ＭＳ ゴシック"/>
                <w:color w:val="00000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阪</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企</w:t>
            </w:r>
            <w:bookmarkStart w:id="0" w:name="_GoBack"/>
            <w:bookmarkEnd w:id="0"/>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rPr>
              <w:t>　　認定者名　大阪府阪南市長　上甲　誠　　　印</w:t>
            </w:r>
          </w:p>
        </w:tc>
      </w:tr>
    </w:tbl>
    <w:p>
      <w:pPr>
        <w:pStyle w:val="0"/>
        <w:suppressAutoHyphens w:val="1"/>
        <w:wordWrap w:val="0"/>
        <w:spacing w:line="260" w:lineRule="exact"/>
        <w:ind w:leftChars="0" w:hanging="840" w:hangingChars="400"/>
        <w:jc w:val="left"/>
        <w:textAlignment w:val="baseline"/>
        <w:rPr>
          <w:rFonts w:hint="eastAsia" w:ascii="ＭＳ ゴシック" w:hAnsi="ＭＳ ゴシック" w:eastAsia="ＭＳ ゴシック"/>
          <w:sz w:val="24"/>
        </w:rPr>
      </w:pPr>
    </w:p>
    <w:p>
      <w:pPr>
        <w:pStyle w:val="0"/>
        <w:suppressAutoHyphens w:val="1"/>
        <w:wordWrap w:val="0"/>
        <w:spacing w:line="260" w:lineRule="exact"/>
        <w:ind w:leftChars="0" w:hanging="840" w:hangingChars="400"/>
        <w:jc w:val="left"/>
        <w:textAlignment w:val="baseline"/>
        <w:rPr>
          <w:rFonts w:hint="eastAsia" w:ascii="ＭＳ ゴシック" w:hAnsi="ＭＳ ゴシック" w:eastAsia="ＭＳ ゴシック"/>
          <w:sz w:val="24"/>
        </w:rPr>
      </w:pPr>
    </w:p>
    <w:p>
      <w:pPr>
        <w:pStyle w:val="0"/>
        <w:suppressAutoHyphens w:val="1"/>
        <w:wordWrap w:val="0"/>
        <w:spacing w:line="260" w:lineRule="exact"/>
        <w:ind w:leftChars="0" w:hanging="840" w:hangingChars="400"/>
        <w:jc w:val="right"/>
        <w:textAlignment w:val="baseline"/>
        <w:rPr>
          <w:rFonts w:hint="eastAsia" w:ascii="ＭＳ ゴシック" w:hAnsi="ＭＳ ゴシック" w:eastAsia="ＭＳ ゴシック"/>
          <w:sz w:val="24"/>
        </w:rPr>
      </w:pPr>
      <w:r>
        <w:rPr>
          <w:rFonts w:hint="eastAsia" w:ascii="ＭＳ ゴシック" w:hAnsi="ＭＳ ゴシック" w:eastAsia="ＭＳ ゴシック"/>
          <w:sz w:val="24"/>
        </w:rPr>
        <w:t>（申請書ロ－②の添付書類）</w:t>
      </w:r>
    </w:p>
    <w:p>
      <w:pPr>
        <w:pStyle w:val="0"/>
        <w:widowControl w:val="1"/>
        <w:jc w:val="center"/>
        <w:rPr>
          <w:rFonts w:hint="eastAsia" w:ascii="ＭＳ ゴシック" w:hAnsi="ＭＳ ゴシック" w:eastAsia="ＭＳ ゴシック"/>
          <w:sz w:val="24"/>
        </w:rPr>
      </w:pPr>
      <w:r>
        <w:rPr>
          <w:rFonts w:hint="eastAsia" w:ascii="ＭＳ ゴシック" w:hAnsi="ＭＳ ゴシック" w:eastAsia="ＭＳ ゴシック"/>
          <w:sz w:val="32"/>
        </w:rPr>
        <w:t>売上高計算表</w:t>
      </w:r>
    </w:p>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表１：事業が属する業種毎の最近１年間の売上高</w:t>
      </w:r>
    </w:p>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当社の指定事業は</w:t>
      </w:r>
      <w:r>
        <w:rPr>
          <w:rFonts w:hint="eastAsia" w:ascii="ＭＳ ゴシック" w:hAnsi="ＭＳ ゴシック" w:eastAsia="ＭＳ ゴシック"/>
          <w:sz w:val="22"/>
          <w:u w:val="single" w:color="auto"/>
        </w:rPr>
        <w:t>　　　　　　　　　　　　　　　　</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5"/>
        <w:gridCol w:w="3096"/>
        <w:gridCol w:w="3095"/>
      </w:tblGrid>
      <w:tr>
        <w:trPr/>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業種（※１）</w:t>
            </w:r>
          </w:p>
        </w:tc>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最近１年間の売上高</w:t>
            </w:r>
          </w:p>
        </w:tc>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構成比</w:t>
            </w:r>
          </w:p>
        </w:tc>
      </w:tr>
      <w:tr>
        <w:trPr>
          <w:trHeight w:val="350" w:hRule="atLeast"/>
        </w:trPr>
        <w:tc>
          <w:tcPr>
            <w:tcW w:w="3256"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ind w:firstLine="480" w:firstLine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全体の売上高</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100</w:t>
            </w:r>
            <w:r>
              <w:rPr>
                <w:rFonts w:hint="eastAsia" w:ascii="ＭＳ ゴシック" w:hAnsi="ＭＳ ゴシック" w:eastAsia="ＭＳ ゴシック"/>
                <w:sz w:val="22"/>
              </w:rPr>
              <w:t>％</w:t>
            </w:r>
          </w:p>
        </w:tc>
      </w:tr>
    </w:tbl>
    <w:p>
      <w:pPr>
        <w:pStyle w:val="0"/>
        <w:widowControl w:val="1"/>
        <w:ind w:left="701" w:hanging="701" w:hangingChars="292"/>
        <w:jc w:val="both"/>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sz w:val="20"/>
        </w:rPr>
        <w:t>※業種欄には、</w:t>
      </w:r>
      <w:r>
        <w:rPr>
          <w:rFonts w:hint="eastAsia" w:ascii="ＭＳ ゴシック" w:hAnsi="ＭＳ ゴシック" w:eastAsia="ＭＳ ゴシック"/>
          <w:color w:val="000000"/>
          <w:spacing w:val="16"/>
          <w:kern w:val="0"/>
          <w:sz w:val="20"/>
        </w:rPr>
        <w:t>日本標準産業分類の細分類番号と細分類業種名を記載してください。</w:t>
      </w:r>
    </w:p>
    <w:p>
      <w:pPr>
        <w:pStyle w:val="0"/>
        <w:widowControl w:val="1"/>
        <w:jc w:val="left"/>
        <w:rPr>
          <w:rFonts w:hint="eastAsia" w:ascii="ＭＳ ゴシック" w:hAnsi="ＭＳ ゴシック" w:eastAsia="ＭＳ ゴシック"/>
          <w:color w:val="000000"/>
          <w:spacing w:val="16"/>
          <w:kern w:val="0"/>
        </w:rPr>
      </w:pPr>
    </w:p>
    <w:p>
      <w:pPr>
        <w:pStyle w:val="0"/>
        <w:widowControl w:val="1"/>
        <w:jc w:val="left"/>
        <w:rPr>
          <w:rFonts w:hint="eastAsia" w:ascii="ＭＳ ゴシック" w:hAnsi="ＭＳ ゴシック" w:eastAsia="ＭＳ ゴシック"/>
          <w:color w:val="000000"/>
          <w:spacing w:val="16"/>
          <w:w w:val="90"/>
          <w:kern w:val="0"/>
          <w:sz w:val="21"/>
        </w:rPr>
      </w:pPr>
      <w:r>
        <w:rPr>
          <w:rFonts w:hint="eastAsia" w:ascii="ＭＳ ゴシック" w:hAnsi="ＭＳ ゴシック" w:eastAsia="ＭＳ ゴシック"/>
          <w:color w:val="000000"/>
          <w:w w:val="90"/>
          <w:kern w:val="0"/>
          <w:sz w:val="21"/>
        </w:rPr>
        <w:t>表２：最近</w:t>
      </w:r>
      <w:r>
        <w:rPr>
          <w:rFonts w:hint="eastAsia" w:ascii="ＭＳ ゴシック" w:hAnsi="ＭＳ ゴシック" w:eastAsia="ＭＳ ゴシック"/>
          <w:color w:val="000000"/>
          <w:w w:val="90"/>
          <w:kern w:val="0"/>
          <w:sz w:val="21"/>
        </w:rPr>
        <w:t>1</w:t>
      </w:r>
      <w:r>
        <w:rPr>
          <w:rFonts w:hint="eastAsia" w:ascii="ＭＳ ゴシック" w:hAnsi="ＭＳ ゴシック" w:eastAsia="ＭＳ ゴシック"/>
          <w:color w:val="000000"/>
          <w:w w:val="90"/>
          <w:kern w:val="0"/>
          <w:sz w:val="21"/>
        </w:rPr>
        <w:t>か月間における企業全体の売上原価に占める指定業種の売上原価の割合</w:t>
      </w:r>
      <w:r>
        <w:rPr>
          <w:rFonts w:hint="eastAsia" w:ascii="ＭＳ ゴシック" w:hAnsi="ＭＳ ゴシック" w:eastAsia="ＭＳ ゴシック"/>
          <w:w w:val="90"/>
          <w:sz w:val="21"/>
        </w:rPr>
        <w:t>（小数点第</w:t>
      </w:r>
      <w:r>
        <w:rPr>
          <w:rFonts w:hint="eastAsia" w:ascii="ＭＳ ゴシック" w:hAnsi="ＭＳ ゴシック" w:eastAsia="ＭＳ ゴシック"/>
          <w:w w:val="90"/>
          <w:sz w:val="21"/>
        </w:rPr>
        <w:t>2</w:t>
      </w:r>
      <w:r>
        <w:rPr>
          <w:rFonts w:hint="eastAsia" w:ascii="ＭＳ ゴシック" w:hAnsi="ＭＳ ゴシック" w:eastAsia="ＭＳ ゴシック"/>
          <w:w w:val="90"/>
          <w:sz w:val="21"/>
        </w:rPr>
        <w:t>位以下切り捨て）</w:t>
      </w:r>
    </w:p>
    <w:tbl>
      <w:tblPr>
        <w:tblStyle w:val="1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25"/>
        <w:gridCol w:w="2520"/>
        <w:gridCol w:w="1575"/>
        <w:gridCol w:w="2813"/>
      </w:tblGrid>
      <w:tr>
        <w:trPr>
          <w:trHeight w:val="367" w:hRule="atLeast"/>
        </w:trPr>
        <w:tc>
          <w:tcPr>
            <w:tcW w:w="2725" w:type="dxa"/>
            <w:shd w:val="clear" w:color="auto" w:fill="auto"/>
            <w:vAlign w:val="top"/>
          </w:tcPr>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指定業種の最近１か月間の売上原価【ｄ】</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rightChars="0"/>
              <w:jc w:val="right"/>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円</w:t>
            </w:r>
          </w:p>
        </w:tc>
        <w:tc>
          <w:tcPr>
            <w:tcW w:w="1575" w:type="dxa"/>
            <w:tcBorders>
              <w:top w:val="single" w:color="auto" w:sz="4" w:space="0"/>
              <w:left w:val="single" w:color="auto" w:sz="4" w:space="0"/>
              <w:bottom w:val="nil"/>
              <w:right w:val="single" w:color="auto" w:sz="4" w:space="0"/>
              <w:tl2br w:val="nil"/>
              <w:tr2bl w:val="nil"/>
            </w:tcBorders>
            <w:shd w:val="clear" w:color="auto" w:fill="auto"/>
            <w:vAlign w:val="top"/>
          </w:tcPr>
          <w:p>
            <w:pPr>
              <w:pStyle w:val="0"/>
              <w:spacing w:line="240" w:lineRule="exact"/>
              <w:rPr>
                <w:rFonts w:hint="eastAsia" w:ascii="ＭＳ ゴシック" w:hAnsi="ＭＳ ゴシック" w:eastAsia="ＭＳ ゴシック"/>
                <w:w w:val="100"/>
                <w:sz w:val="22"/>
              </w:rPr>
            </w:pPr>
          </w:p>
          <w:p>
            <w:pPr>
              <w:pStyle w:val="0"/>
              <w:spacing w:line="240" w:lineRule="exact"/>
              <w:rPr>
                <w:rFonts w:hint="eastAsia" w:ascii="ＭＳ ゴシック" w:hAnsi="ＭＳ ゴシック" w:eastAsia="ＭＳ ゴシック"/>
                <w:w w:val="100"/>
                <w:sz w:val="22"/>
              </w:rPr>
            </w:pPr>
            <w:r>
              <w:rPr>
                <w:rFonts w:hint="eastAsia" w:ascii="ＭＳ ゴシック" w:hAnsi="ＭＳ ゴシック" w:eastAsia="ＭＳ ゴシック"/>
                <w:sz w:val="20"/>
                <w:u w:val="single" w:color="auto"/>
              </w:rPr>
              <w:t>【ｄ】</w:t>
            </w:r>
            <w:r>
              <w:rPr>
                <w:rFonts w:hint="eastAsia" w:ascii="ＭＳ ゴシック" w:hAnsi="ＭＳ ゴシック" w:eastAsia="ＭＳ ゴシック"/>
                <w:sz w:val="20"/>
                <w:u w:val="none" w:color="auto"/>
              </w:rPr>
              <w:t>×</w:t>
            </w:r>
            <w:r>
              <w:rPr>
                <w:rFonts w:hint="eastAsia" w:ascii="ＭＳ ゴシック" w:hAnsi="ＭＳ ゴシック" w:eastAsia="ＭＳ ゴシック"/>
                <w:sz w:val="20"/>
                <w:u w:val="none" w:color="auto"/>
              </w:rPr>
              <w:t>100</w:t>
            </w:r>
          </w:p>
        </w:tc>
        <w:tc>
          <w:tcPr>
            <w:tcW w:w="2813" w:type="dxa"/>
            <w:tcBorders>
              <w:top w:val="single" w:color="auto" w:sz="4" w:space="0"/>
              <w:left w:val="single" w:color="auto" w:sz="4" w:space="0"/>
              <w:bottom w:val="nil"/>
              <w:right w:val="single" w:color="auto" w:sz="4" w:space="0"/>
              <w:tl2br w:val="nil"/>
              <w:tr2bl w:val="nil"/>
            </w:tcBorders>
            <w:shd w:val="clear" w:color="auto" w:fill="auto"/>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u w:val="single" w:color="auto"/>
              </w:rPr>
              <w:t>　　　　　　　　　　％</w:t>
            </w:r>
          </w:p>
        </w:tc>
      </w:tr>
      <w:tr>
        <w:trPr>
          <w:trHeight w:val="350" w:hRule="atLeast"/>
        </w:trPr>
        <w:tc>
          <w:tcPr>
            <w:tcW w:w="2725" w:type="dxa"/>
            <w:shd w:val="clear" w:color="auto" w:fill="auto"/>
            <w:vAlign w:val="top"/>
          </w:tcPr>
          <w:p>
            <w:pPr>
              <w:pStyle w:val="0"/>
              <w:widowControl w:val="1"/>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企業全体の最近１か月間の売上原価【Ｄ】</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1575" w:type="dxa"/>
            <w:tcBorders>
              <w:top w:val="nil"/>
              <w:left w:val="single" w:color="auto" w:sz="4" w:space="0"/>
              <w:bottom w:val="single" w:color="auto" w:sz="4" w:space="0"/>
              <w:right w:val="single" w:color="auto" w:sz="4" w:space="0"/>
              <w:tl2br w:val="nil"/>
              <w:tr2bl w:val="nil"/>
            </w:tcBorders>
            <w:shd w:val="clear" w:color="auto" w:fill="auto"/>
            <w:vAlign w:val="top"/>
          </w:tcPr>
          <w:p>
            <w:pPr>
              <w:pStyle w:val="0"/>
              <w:widowControl w:val="1"/>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0"/>
              </w:rPr>
              <w:t>【Ｄ】</w:t>
            </w:r>
          </w:p>
        </w:tc>
        <w:tc>
          <w:tcPr>
            <w:tcW w:w="2813" w:type="dxa"/>
            <w:tcBorders>
              <w:top w:val="nil"/>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20</w:t>
            </w:r>
            <w:r>
              <w:rPr>
                <w:rFonts w:hint="eastAsia" w:ascii="ＭＳ ゴシック" w:hAnsi="ＭＳ ゴシック" w:eastAsia="ＭＳ ゴシック"/>
                <w:sz w:val="20"/>
              </w:rPr>
              <w:t>％以上であることが必要</w:t>
            </w:r>
          </w:p>
        </w:tc>
      </w:tr>
    </w:tbl>
    <w:p>
      <w:pPr>
        <w:pStyle w:val="0"/>
        <w:widowControl w:val="1"/>
        <w:jc w:val="righ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表３：指定業種に係る原油等の最近１か月間の仕入単価の上昇</w:t>
      </w:r>
      <w:r>
        <w:rPr>
          <w:rFonts w:hint="eastAsia" w:ascii="ＭＳ ゴシック" w:hAnsi="ＭＳ ゴシック" w:eastAsia="ＭＳ ゴシック"/>
          <w:w w:val="90"/>
          <w:sz w:val="21"/>
        </w:rPr>
        <w:t>（小数点第</w:t>
      </w:r>
      <w:r>
        <w:rPr>
          <w:rFonts w:hint="eastAsia" w:ascii="ＭＳ ゴシック" w:hAnsi="ＭＳ ゴシック" w:eastAsia="ＭＳ ゴシック"/>
          <w:w w:val="90"/>
          <w:sz w:val="21"/>
        </w:rPr>
        <w:t>2</w:t>
      </w:r>
      <w:r>
        <w:rPr>
          <w:rFonts w:hint="eastAsia" w:ascii="ＭＳ ゴシック" w:hAnsi="ＭＳ ゴシック" w:eastAsia="ＭＳ ゴシック"/>
          <w:w w:val="90"/>
          <w:sz w:val="21"/>
        </w:rPr>
        <w:t>位以下切り捨て）</w:t>
      </w:r>
    </w:p>
    <w:tbl>
      <w:tblPr>
        <w:tblStyle w:val="1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5"/>
        <w:gridCol w:w="2625"/>
        <w:gridCol w:w="2625"/>
        <w:gridCol w:w="2918"/>
      </w:tblGrid>
      <w:tr>
        <w:trPr/>
        <w:tc>
          <w:tcPr>
            <w:tcW w:w="1465" w:type="dxa"/>
            <w:shd w:val="clear" w:color="auto" w:fill="auto"/>
            <w:vAlign w:val="top"/>
          </w:tcPr>
          <w:p>
            <w:pPr>
              <w:pStyle w:val="0"/>
              <w:rPr>
                <w:rFonts w:hint="eastAsia" w:ascii="ＭＳ ゴシック" w:hAnsi="ＭＳ ゴシック" w:eastAsia="ＭＳ ゴシック"/>
                <w:sz w:val="22"/>
              </w:rPr>
            </w:pPr>
          </w:p>
        </w:tc>
        <w:tc>
          <w:tcPr>
            <w:tcW w:w="2625" w:type="dxa"/>
            <w:shd w:val="clear" w:color="auto" w:fill="auto"/>
            <w:vAlign w:val="top"/>
          </w:tcPr>
          <w:p>
            <w:pPr>
              <w:pStyle w:val="0"/>
              <w:spacing w:line="24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原油等の最近１か月間の</w:t>
            </w:r>
          </w:p>
          <w:p>
            <w:pPr>
              <w:pStyle w:val="0"/>
              <w:spacing w:line="24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平均仕入単価</w:t>
            </w:r>
          </w:p>
        </w:tc>
        <w:tc>
          <w:tcPr>
            <w:tcW w:w="2625" w:type="dxa"/>
            <w:shd w:val="clear" w:color="auto" w:fill="auto"/>
            <w:vAlign w:val="top"/>
          </w:tcPr>
          <w:p>
            <w:pPr>
              <w:pStyle w:val="0"/>
              <w:widowControl w:val="1"/>
              <w:spacing w:line="24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原油等の前年同月の</w:t>
            </w:r>
          </w:p>
          <w:p>
            <w:pPr>
              <w:pStyle w:val="0"/>
              <w:widowControl w:val="1"/>
              <w:spacing w:line="24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平均仕入単価</w:t>
            </w:r>
          </w:p>
        </w:tc>
        <w:tc>
          <w:tcPr>
            <w:tcW w:w="2918" w:type="dxa"/>
            <w:shd w:val="clear" w:color="auto" w:fill="auto"/>
            <w:vAlign w:val="top"/>
          </w:tcPr>
          <w:p>
            <w:pPr>
              <w:pStyle w:val="0"/>
              <w:spacing w:line="240" w:lineRule="exact"/>
              <w:jc w:val="center"/>
              <w:rPr>
                <w:rFonts w:hint="eastAsia" w:ascii="ＭＳ ゴシック" w:hAnsi="ＭＳ ゴシック" w:eastAsia="ＭＳ ゴシック"/>
                <w:sz w:val="20"/>
              </w:rPr>
            </w:pPr>
            <w:r>
              <w:rPr>
                <w:rFonts w:hint="eastAsia" w:ascii="ＭＳ ゴシック" w:hAnsi="ＭＳ ゴシック" w:eastAsia="ＭＳ ゴシック"/>
                <w:sz w:val="20"/>
              </w:rPr>
              <w:t>原油等の仕入単価の上昇率</w:t>
            </w:r>
          </w:p>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（Ｅ</w:t>
            </w:r>
            <w:r>
              <w:rPr>
                <w:rFonts w:hint="eastAsia" w:ascii="ＭＳ ゴシック" w:hAnsi="ＭＳ ゴシック" w:eastAsia="ＭＳ ゴシック"/>
              </w:rPr>
              <w:t>/</w:t>
            </w:r>
            <w:r>
              <w:rPr>
                <w:rFonts w:hint="eastAsia" w:ascii="ＭＳ ゴシック" w:hAnsi="ＭＳ ゴシック" w:eastAsia="ＭＳ ゴシック"/>
              </w:rPr>
              <w:t>ｅ×</w:t>
            </w:r>
            <w:r>
              <w:rPr>
                <w:rFonts w:hint="eastAsia" w:ascii="ＭＳ ゴシック" w:hAnsi="ＭＳ ゴシック" w:eastAsia="ＭＳ ゴシック"/>
              </w:rPr>
              <w:t>100-100</w:t>
            </w:r>
            <w:r>
              <w:rPr>
                <w:rFonts w:hint="eastAsia" w:ascii="ＭＳ ゴシック" w:hAnsi="ＭＳ ゴシック" w:eastAsia="ＭＳ ゴシック"/>
              </w:rPr>
              <w:t>）</w:t>
            </w:r>
          </w:p>
        </w:tc>
      </w:tr>
      <w:tr>
        <w:trPr>
          <w:trHeight w:val="350" w:hRule="atLeast"/>
        </w:trPr>
        <w:tc>
          <w:tcPr>
            <w:tcW w:w="1465" w:type="dxa"/>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指定業種</w:t>
            </w:r>
          </w:p>
        </w:tc>
        <w:tc>
          <w:tcPr>
            <w:tcW w:w="262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円【Ｅ】</w:t>
            </w:r>
          </w:p>
        </w:tc>
        <w:tc>
          <w:tcPr>
            <w:tcW w:w="262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円【ｅ】</w:t>
            </w:r>
          </w:p>
        </w:tc>
        <w:tc>
          <w:tcPr>
            <w:tcW w:w="2918"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widowControl w:val="1"/>
        <w:jc w:val="center"/>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sz w:val="20"/>
        </w:rPr>
        <w:t>　　　　　　　　　　　　　　　　　　　　　　　　　　　　　　　　　</w:t>
      </w:r>
      <w:r>
        <w:rPr>
          <w:rFonts w:hint="eastAsia" w:ascii="ＭＳ ゴシック" w:hAnsi="ＭＳ ゴシック" w:eastAsia="ＭＳ ゴシック"/>
          <w:sz w:val="20"/>
        </w:rPr>
        <w:t>20</w:t>
      </w:r>
      <w:r>
        <w:rPr>
          <w:rFonts w:hint="eastAsia" w:ascii="ＭＳ ゴシック" w:hAnsi="ＭＳ ゴシック" w:eastAsia="ＭＳ ゴシック"/>
          <w:sz w:val="20"/>
        </w:rPr>
        <w:t>％以上であることが必要</w:t>
      </w: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w w:val="90"/>
          <w:kern w:val="0"/>
          <w:sz w:val="24"/>
        </w:rPr>
      </w:pPr>
      <w:r>
        <w:rPr>
          <w:rFonts w:hint="eastAsia" w:ascii="ＭＳ ゴシック" w:hAnsi="ＭＳ ゴシック" w:eastAsia="ＭＳ ゴシック"/>
          <w:w w:val="90"/>
          <w:sz w:val="22"/>
        </w:rPr>
        <w:t>表４：</w:t>
      </w:r>
      <w:r>
        <w:rPr>
          <w:rFonts w:hint="eastAsia" w:ascii="ＭＳ ゴシック" w:hAnsi="ＭＳ ゴシック" w:eastAsia="ＭＳ ゴシック"/>
          <w:color w:val="000000"/>
          <w:w w:val="90"/>
          <w:kern w:val="0"/>
          <w:sz w:val="22"/>
        </w:rPr>
        <w:t>指定業種及び企業全体それぞれの売上原価に占める原油等の仕入価格の割合</w:t>
      </w:r>
      <w:r>
        <w:rPr>
          <w:rFonts w:hint="eastAsia" w:ascii="ＭＳ ゴシック" w:hAnsi="ＭＳ ゴシック" w:eastAsia="ＭＳ ゴシック"/>
          <w:w w:val="90"/>
          <w:sz w:val="21"/>
        </w:rPr>
        <w:t>（小数点第</w:t>
      </w:r>
      <w:r>
        <w:rPr>
          <w:rFonts w:hint="eastAsia" w:ascii="ＭＳ ゴシック" w:hAnsi="ＭＳ ゴシック" w:eastAsia="ＭＳ ゴシック"/>
          <w:w w:val="90"/>
          <w:sz w:val="21"/>
        </w:rPr>
        <w:t>2</w:t>
      </w:r>
      <w:r>
        <w:rPr>
          <w:rFonts w:hint="eastAsia" w:ascii="ＭＳ ゴシック" w:hAnsi="ＭＳ ゴシック" w:eastAsia="ＭＳ ゴシック"/>
          <w:w w:val="90"/>
          <w:sz w:val="21"/>
        </w:rPr>
        <w:t>位以下切り捨て）</w:t>
      </w:r>
    </w:p>
    <w:tbl>
      <w:tblPr>
        <w:tblStyle w:val="1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5"/>
        <w:gridCol w:w="2625"/>
        <w:gridCol w:w="2625"/>
        <w:gridCol w:w="2918"/>
      </w:tblGrid>
      <w:tr>
        <w:trPr/>
        <w:tc>
          <w:tcPr>
            <w:tcW w:w="1465" w:type="dxa"/>
            <w:shd w:val="clear" w:color="auto" w:fill="auto"/>
            <w:vAlign w:val="top"/>
          </w:tcPr>
          <w:p>
            <w:pPr>
              <w:pStyle w:val="0"/>
              <w:rPr>
                <w:rFonts w:hint="eastAsia" w:ascii="ＭＳ ゴシック" w:hAnsi="ＭＳ ゴシック" w:eastAsia="ＭＳ ゴシック"/>
                <w:sz w:val="22"/>
              </w:rPr>
            </w:pPr>
          </w:p>
        </w:tc>
        <w:tc>
          <w:tcPr>
            <w:tcW w:w="2625" w:type="dxa"/>
            <w:shd w:val="clear" w:color="auto" w:fill="auto"/>
            <w:vAlign w:val="top"/>
          </w:tcPr>
          <w:p>
            <w:pPr>
              <w:pStyle w:val="0"/>
              <w:spacing w:line="24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最近１か月間の売上原価</w:t>
            </w:r>
          </w:p>
        </w:tc>
        <w:tc>
          <w:tcPr>
            <w:tcW w:w="2625" w:type="dxa"/>
            <w:shd w:val="clear" w:color="auto" w:fill="auto"/>
            <w:vAlign w:val="top"/>
          </w:tcPr>
          <w:p>
            <w:pPr>
              <w:pStyle w:val="0"/>
              <w:widowControl w:val="1"/>
              <w:spacing w:line="24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最近１か月間の売上原価に対応する原油等の仕入価格</w:t>
            </w:r>
          </w:p>
        </w:tc>
        <w:tc>
          <w:tcPr>
            <w:tcW w:w="2918" w:type="dxa"/>
            <w:shd w:val="clear" w:color="auto" w:fill="auto"/>
            <w:vAlign w:val="top"/>
          </w:tcPr>
          <w:p>
            <w:pPr>
              <w:pStyle w:val="0"/>
              <w:spacing w:line="240" w:lineRule="exact"/>
              <w:jc w:val="center"/>
              <w:rPr>
                <w:rFonts w:hint="eastAsia" w:ascii="ＭＳ ゴシック" w:hAnsi="ＭＳ ゴシック" w:eastAsia="ＭＳ ゴシック"/>
                <w:sz w:val="20"/>
              </w:rPr>
            </w:pPr>
            <w:r>
              <w:rPr>
                <w:rFonts w:hint="eastAsia" w:ascii="ＭＳ ゴシック" w:hAnsi="ＭＳ ゴシック" w:eastAsia="ＭＳ ゴシック"/>
                <w:sz w:val="20"/>
              </w:rPr>
              <w:t>売上原価に占める原油等の仕入価格の割合</w:t>
            </w:r>
          </w:p>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（Ｓ</w:t>
            </w:r>
            <w:r>
              <w:rPr>
                <w:rFonts w:hint="eastAsia" w:ascii="ＭＳ ゴシック" w:hAnsi="ＭＳ ゴシック" w:eastAsia="ＭＳ ゴシック"/>
              </w:rPr>
              <w:t>/</w:t>
            </w:r>
            <w:r>
              <w:rPr>
                <w:rFonts w:hint="eastAsia" w:ascii="ＭＳ ゴシック" w:hAnsi="ＭＳ ゴシック" w:eastAsia="ＭＳ ゴシック"/>
              </w:rPr>
              <w:t>Ｃ×</w:t>
            </w:r>
            <w:r>
              <w:rPr>
                <w:rFonts w:hint="eastAsia" w:ascii="ＭＳ ゴシック" w:hAnsi="ＭＳ ゴシック" w:eastAsia="ＭＳ ゴシック"/>
              </w:rPr>
              <w:t>100</w:t>
            </w:r>
            <w:r>
              <w:rPr>
                <w:rFonts w:hint="eastAsia" w:ascii="ＭＳ ゴシック" w:hAnsi="ＭＳ ゴシック" w:eastAsia="ＭＳ ゴシック"/>
              </w:rPr>
              <w:t>）</w:t>
            </w:r>
          </w:p>
        </w:tc>
      </w:tr>
      <w:tr>
        <w:trPr>
          <w:trHeight w:val="350" w:hRule="atLeast"/>
        </w:trPr>
        <w:tc>
          <w:tcPr>
            <w:tcW w:w="1465" w:type="dxa"/>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指定業種</w:t>
            </w:r>
          </w:p>
        </w:tc>
        <w:tc>
          <w:tcPr>
            <w:tcW w:w="262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円【Ｃ】</w:t>
            </w:r>
          </w:p>
        </w:tc>
        <w:tc>
          <w:tcPr>
            <w:tcW w:w="262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円【Ｓ】</w:t>
            </w:r>
          </w:p>
        </w:tc>
        <w:tc>
          <w:tcPr>
            <w:tcW w:w="2918"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350" w:hRule="atLeast"/>
        </w:trPr>
        <w:tc>
          <w:tcPr>
            <w:tcW w:w="1465"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企業全体</w:t>
            </w:r>
          </w:p>
        </w:tc>
        <w:tc>
          <w:tcPr>
            <w:tcW w:w="262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2"/>
              </w:rPr>
              <w:t>円【Ｃ】</w:t>
            </w:r>
          </w:p>
        </w:tc>
        <w:tc>
          <w:tcPr>
            <w:tcW w:w="262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2"/>
              </w:rPr>
              <w:t>円【Ｓ】</w:t>
            </w:r>
          </w:p>
        </w:tc>
        <w:tc>
          <w:tcPr>
            <w:tcW w:w="2918"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w w:val="90"/>
          <w:kern w:val="0"/>
          <w:sz w:val="24"/>
        </w:rPr>
      </w:pPr>
      <w:r>
        <w:rPr>
          <w:rFonts w:hint="eastAsia" w:ascii="ＭＳ ゴシック" w:hAnsi="ＭＳ ゴシック" w:eastAsia="ＭＳ ゴシック"/>
          <w:sz w:val="20"/>
        </w:rPr>
        <w:t>　　　　　　　　　　　　　　　　　　　　　　　　　　　　　　　　　　　</w:t>
      </w:r>
      <w:r>
        <w:rPr>
          <w:rFonts w:hint="eastAsia" w:ascii="ＭＳ ゴシック" w:hAnsi="ＭＳ ゴシック" w:eastAsia="ＭＳ ゴシック"/>
          <w:sz w:val="20"/>
        </w:rPr>
        <w:t>20</w:t>
      </w:r>
      <w:r>
        <w:rPr>
          <w:rFonts w:hint="eastAsia" w:ascii="ＭＳ ゴシック" w:hAnsi="ＭＳ ゴシック" w:eastAsia="ＭＳ ゴシック"/>
          <w:sz w:val="20"/>
        </w:rPr>
        <w:t>％以上であることが必要</w:t>
      </w: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0"/>
        </w:rPr>
      </w:pPr>
      <w:r>
        <w:rPr>
          <w:rFonts w:hint="eastAsia" w:ascii="ＭＳ ゴシック" w:hAnsi="ＭＳ ゴシック" w:eastAsia="ＭＳ ゴシック"/>
          <w:sz w:val="20"/>
        </w:rPr>
        <w:t>※最新の売上原価及び原油等の仕入価格は、直近の決算期の値を用いていただいても結構です。</w:t>
      </w: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0"/>
        </w:rPr>
      </w:pPr>
    </w:p>
    <w:p>
      <w:pPr>
        <w:pStyle w:val="0"/>
        <w:widowControl w:val="1"/>
        <w:jc w:val="left"/>
        <w:rPr>
          <w:rFonts w:hint="eastAsia" w:ascii="ＭＳ ゴシック" w:hAnsi="ＭＳ ゴシック" w:eastAsia="ＭＳ ゴシック"/>
          <w:w w:val="100"/>
          <w:sz w:val="24"/>
        </w:rPr>
      </w:pPr>
      <w:r>
        <w:rPr>
          <w:rFonts w:hint="eastAsia" w:ascii="ＭＳ ゴシック" w:hAnsi="ＭＳ ゴシック" w:eastAsia="ＭＳ ゴシック"/>
          <w:w w:val="100"/>
          <w:sz w:val="22"/>
        </w:rPr>
        <w:t>表５：指定業種及び企業全体それぞれの製品等価格への転嫁の状況</w:t>
      </w:r>
      <w:r>
        <w:rPr>
          <w:rFonts w:hint="eastAsia" w:ascii="ＭＳ ゴシック" w:hAnsi="ＭＳ ゴシック" w:eastAsia="ＭＳ ゴシック"/>
          <w:w w:val="100"/>
          <w:sz w:val="21"/>
        </w:rPr>
        <w:t>⇒Ｐ＞０であることが必要</w:t>
      </w:r>
    </w:p>
    <w:tbl>
      <w:tblPr>
        <w:tblStyle w:val="11"/>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6"/>
        <w:gridCol w:w="1631"/>
        <w:gridCol w:w="1630"/>
        <w:gridCol w:w="781"/>
        <w:gridCol w:w="1348"/>
        <w:gridCol w:w="1347"/>
        <w:gridCol w:w="1204"/>
        <w:gridCol w:w="1256"/>
      </w:tblGrid>
      <w:tr>
        <w:trPr/>
        <w:tc>
          <w:tcPr>
            <w:tcW w:w="835" w:type="dxa"/>
            <w:shd w:val="clear" w:color="auto" w:fill="auto"/>
            <w:vAlign w:val="top"/>
          </w:tcPr>
          <w:p>
            <w:pPr>
              <w:pStyle w:val="0"/>
              <w:rPr>
                <w:rFonts w:hint="eastAsia" w:ascii="ＭＳ ゴシック" w:hAnsi="ＭＳ ゴシック" w:eastAsia="ＭＳ ゴシック"/>
                <w:sz w:val="22"/>
              </w:rPr>
            </w:pPr>
          </w:p>
        </w:tc>
        <w:tc>
          <w:tcPr>
            <w:tcW w:w="1785" w:type="dxa"/>
            <w:shd w:val="clear" w:color="auto" w:fill="auto"/>
            <w:vAlign w:val="top"/>
          </w:tcPr>
          <w:p>
            <w:pPr>
              <w:pStyle w:val="0"/>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最近３か月間の</w:t>
            </w:r>
          </w:p>
          <w:p>
            <w:pPr>
              <w:pStyle w:val="0"/>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原油等の</w:t>
            </w:r>
          </w:p>
          <w:p>
            <w:pPr>
              <w:pStyle w:val="0"/>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仕入価格</w:t>
            </w:r>
          </w:p>
        </w:tc>
        <w:tc>
          <w:tcPr>
            <w:tcW w:w="1784" w:type="dxa"/>
            <w:shd w:val="clear" w:color="auto" w:fill="auto"/>
            <w:vAlign w:val="top"/>
          </w:tcPr>
          <w:p>
            <w:pPr>
              <w:pStyle w:val="0"/>
              <w:widowControl w:val="1"/>
              <w:spacing w:line="32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最近３か月間の</w:t>
            </w:r>
          </w:p>
          <w:p>
            <w:pPr>
              <w:pStyle w:val="0"/>
              <w:widowControl w:val="1"/>
              <w:spacing w:line="32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売上高</w:t>
            </w:r>
          </w:p>
        </w:tc>
        <w:tc>
          <w:tcPr>
            <w:tcW w:w="841" w:type="dxa"/>
            <w:shd w:val="clear" w:color="auto" w:fill="auto"/>
            <w:vAlign w:val="top"/>
          </w:tcPr>
          <w:p>
            <w:pPr>
              <w:pStyle w:val="0"/>
              <w:rPr>
                <w:rFonts w:hint="eastAsia" w:ascii="ＭＳ ゴシック" w:hAnsi="ＭＳ ゴシック" w:eastAsia="ＭＳ ゴシック"/>
                <w:w w:val="66"/>
                <w:sz w:val="20"/>
              </w:rPr>
            </w:pPr>
            <w:r>
              <w:rPr>
                <w:rFonts w:hint="eastAsia" w:ascii="ＭＳ ゴシック" w:hAnsi="ＭＳ ゴシック" w:eastAsia="ＭＳ ゴシック"/>
                <w:w w:val="66"/>
                <w:sz w:val="20"/>
              </w:rPr>
              <w:t>（Ａ／Ｂ）</w:t>
            </w:r>
          </w:p>
        </w:tc>
        <w:tc>
          <w:tcPr>
            <w:tcW w:w="1470" w:type="dxa"/>
            <w:shd w:val="clear" w:color="auto" w:fill="auto"/>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前年同期の</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原油等の</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仕入価格</w:t>
            </w:r>
          </w:p>
        </w:tc>
        <w:tc>
          <w:tcPr>
            <w:tcW w:w="1470" w:type="dxa"/>
            <w:shd w:val="clear" w:color="auto" w:fill="auto"/>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前年同期の</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売上高</w:t>
            </w:r>
          </w:p>
        </w:tc>
        <w:tc>
          <w:tcPr>
            <w:tcW w:w="1311" w:type="dxa"/>
            <w:shd w:val="clear" w:color="auto" w:fill="auto"/>
            <w:vAlign w:val="top"/>
          </w:tcPr>
          <w:p>
            <w:pPr>
              <w:pStyle w:val="0"/>
              <w:rPr>
                <w:rFonts w:hint="eastAsia"/>
              </w:rPr>
            </w:pPr>
            <w:r>
              <w:rPr>
                <w:rFonts w:hint="eastAsia" w:ascii="ＭＳ ゴシック" w:hAnsi="ＭＳ ゴシック" w:eastAsia="ＭＳ ゴシック"/>
                <w:w w:val="100"/>
                <w:sz w:val="20"/>
              </w:rPr>
              <w:t>（</w:t>
            </w:r>
            <w:r>
              <w:rPr>
                <w:rFonts w:hint="eastAsia" w:ascii="ＭＳ ゴシック" w:hAnsi="ＭＳ ゴシック" w:eastAsia="ＭＳ ゴシック"/>
                <w:w w:val="100"/>
                <w:sz w:val="20"/>
              </w:rPr>
              <w:t>a</w:t>
            </w:r>
            <w:r>
              <w:rPr>
                <w:rFonts w:hint="eastAsia" w:ascii="ＭＳ ゴシック" w:hAnsi="ＭＳ ゴシック" w:eastAsia="ＭＳ ゴシック"/>
                <w:w w:val="100"/>
                <w:sz w:val="20"/>
              </w:rPr>
              <w:t>／</w:t>
            </w:r>
            <w:r>
              <w:rPr>
                <w:rFonts w:hint="eastAsia" w:ascii="ＭＳ ゴシック" w:hAnsi="ＭＳ ゴシック" w:eastAsia="ＭＳ ゴシック"/>
                <w:w w:val="100"/>
                <w:sz w:val="20"/>
              </w:rPr>
              <w:t>b</w:t>
            </w:r>
            <w:r>
              <w:rPr>
                <w:rFonts w:hint="eastAsia" w:ascii="ＭＳ ゴシック" w:hAnsi="ＭＳ ゴシック" w:eastAsia="ＭＳ ゴシック"/>
                <w:w w:val="100"/>
                <w:sz w:val="20"/>
              </w:rPr>
              <w:t>）</w:t>
            </w:r>
          </w:p>
        </w:tc>
        <w:tc>
          <w:tcPr>
            <w:tcW w:w="1368" w:type="dxa"/>
            <w:shd w:val="clear" w:color="auto" w:fill="auto"/>
            <w:vAlign w:val="top"/>
          </w:tcPr>
          <w:p>
            <w:pPr>
              <w:pStyle w:val="0"/>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（Ａ／Ｂ）ー</w:t>
            </w:r>
          </w:p>
          <w:p>
            <w:pPr>
              <w:pStyle w:val="0"/>
              <w:spacing w:line="32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100"/>
                <w:sz w:val="20"/>
              </w:rPr>
              <w:t>（</w:t>
            </w:r>
            <w:r>
              <w:rPr>
                <w:rFonts w:hint="eastAsia" w:ascii="ＭＳ ゴシック" w:hAnsi="ＭＳ ゴシック" w:eastAsia="ＭＳ ゴシック"/>
                <w:w w:val="100"/>
                <w:sz w:val="20"/>
              </w:rPr>
              <w:t>a</w:t>
            </w:r>
            <w:r>
              <w:rPr>
                <w:rFonts w:hint="eastAsia" w:ascii="ＭＳ ゴシック" w:hAnsi="ＭＳ ゴシック" w:eastAsia="ＭＳ ゴシック"/>
                <w:w w:val="100"/>
                <w:sz w:val="20"/>
              </w:rPr>
              <w:t>／</w:t>
            </w:r>
            <w:r>
              <w:rPr>
                <w:rFonts w:hint="eastAsia" w:ascii="ＭＳ ゴシック" w:hAnsi="ＭＳ ゴシック" w:eastAsia="ＭＳ ゴシック"/>
                <w:w w:val="100"/>
                <w:sz w:val="20"/>
              </w:rPr>
              <w:t>b</w:t>
            </w:r>
            <w:r>
              <w:rPr>
                <w:rFonts w:hint="eastAsia" w:ascii="ＭＳ ゴシック" w:hAnsi="ＭＳ ゴシック" w:eastAsia="ＭＳ ゴシック"/>
                <w:w w:val="100"/>
                <w:sz w:val="20"/>
              </w:rPr>
              <w:t>）＝Ｐ</w:t>
            </w:r>
          </w:p>
        </w:tc>
      </w:tr>
      <w:tr>
        <w:trPr>
          <w:trHeight w:val="350" w:hRule="atLeast"/>
        </w:trPr>
        <w:tc>
          <w:tcPr>
            <w:tcW w:w="835" w:type="dxa"/>
            <w:shd w:val="clear" w:color="auto" w:fill="auto"/>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指定</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業種</w:t>
            </w:r>
          </w:p>
        </w:tc>
        <w:tc>
          <w:tcPr>
            <w:tcW w:w="178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円</w:t>
            </w:r>
          </w:p>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【Ａ】</w:t>
            </w:r>
          </w:p>
        </w:tc>
        <w:tc>
          <w:tcPr>
            <w:tcW w:w="1784"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w:t>
            </w:r>
          </w:p>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【Ｂ】</w:t>
            </w:r>
          </w:p>
        </w:tc>
        <w:tc>
          <w:tcPr>
            <w:tcW w:w="841" w:type="dxa"/>
            <w:shd w:val="clear" w:color="auto" w:fill="auto"/>
            <w:vAlign w:val="top"/>
          </w:tcPr>
          <w:p>
            <w:pPr>
              <w:pStyle w:val="0"/>
              <w:rPr>
                <w:rFonts w:hint="eastAsia"/>
              </w:rPr>
            </w:pPr>
          </w:p>
        </w:tc>
        <w:tc>
          <w:tcPr>
            <w:tcW w:w="1470" w:type="dxa"/>
            <w:shd w:val="clear" w:color="auto" w:fill="auto"/>
            <w:vAlign w:val="top"/>
          </w:tcPr>
          <w:p>
            <w:pPr>
              <w:pStyle w:val="0"/>
              <w:rPr>
                <w:rFonts w:hint="eastAsia"/>
              </w:rPr>
            </w:pPr>
          </w:p>
        </w:tc>
        <w:tc>
          <w:tcPr>
            <w:tcW w:w="1470" w:type="dxa"/>
            <w:shd w:val="clear" w:color="auto" w:fill="auto"/>
            <w:vAlign w:val="top"/>
          </w:tcPr>
          <w:p>
            <w:pPr>
              <w:pStyle w:val="0"/>
              <w:rPr>
                <w:rFonts w:hint="eastAsia"/>
              </w:rPr>
            </w:pPr>
          </w:p>
        </w:tc>
        <w:tc>
          <w:tcPr>
            <w:tcW w:w="1311" w:type="dxa"/>
            <w:shd w:val="clear" w:color="auto" w:fill="auto"/>
            <w:vAlign w:val="top"/>
          </w:tcPr>
          <w:p>
            <w:pPr>
              <w:pStyle w:val="0"/>
              <w:rPr>
                <w:rFonts w:hint="eastAsia"/>
              </w:rPr>
            </w:pPr>
          </w:p>
        </w:tc>
        <w:tc>
          <w:tcPr>
            <w:tcW w:w="1368"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350" w:hRule="atLeast"/>
        </w:trPr>
        <w:tc>
          <w:tcPr>
            <w:tcW w:w="835"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企業</w:t>
            </w:r>
          </w:p>
          <w:p>
            <w:pPr>
              <w:pStyle w:val="0"/>
              <w:rPr>
                <w:rFonts w:hint="eastAsia" w:ascii="ＭＳ ゴシック" w:hAnsi="ＭＳ ゴシック" w:eastAsia="ＭＳ ゴシック"/>
              </w:rPr>
            </w:pPr>
            <w:r>
              <w:rPr>
                <w:rFonts w:hint="eastAsia" w:ascii="ＭＳ ゴシック" w:hAnsi="ＭＳ ゴシック" w:eastAsia="ＭＳ ゴシック"/>
              </w:rPr>
              <w:t>全体</w:t>
            </w:r>
          </w:p>
        </w:tc>
        <w:tc>
          <w:tcPr>
            <w:tcW w:w="178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2"/>
              </w:rPr>
              <w:t>円</w:t>
            </w:r>
          </w:p>
          <w:p>
            <w:pPr>
              <w:pStyle w:val="0"/>
              <w:jc w:val="right"/>
              <w:rPr>
                <w:rFonts w:hint="eastAsia" w:ascii="ＭＳ ゴシック" w:hAnsi="ＭＳ ゴシック" w:eastAsia="ＭＳ ゴシック"/>
              </w:rPr>
            </w:pPr>
            <w:r>
              <w:rPr>
                <w:rFonts w:hint="eastAsia" w:ascii="ＭＳ ゴシック" w:hAnsi="ＭＳ ゴシック" w:eastAsia="ＭＳ ゴシック"/>
                <w:sz w:val="22"/>
              </w:rPr>
              <w:t>【Ａ】</w:t>
            </w:r>
          </w:p>
        </w:tc>
        <w:tc>
          <w:tcPr>
            <w:tcW w:w="1784"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2"/>
              </w:rPr>
              <w:t>円</w:t>
            </w:r>
          </w:p>
          <w:p>
            <w:pPr>
              <w:pStyle w:val="0"/>
              <w:jc w:val="right"/>
              <w:rPr>
                <w:rFonts w:hint="eastAsia" w:ascii="ＭＳ ゴシック" w:hAnsi="ＭＳ ゴシック" w:eastAsia="ＭＳ ゴシック"/>
              </w:rPr>
            </w:pPr>
            <w:r>
              <w:rPr>
                <w:rFonts w:hint="eastAsia" w:ascii="ＭＳ ゴシック" w:hAnsi="ＭＳ ゴシック" w:eastAsia="ＭＳ ゴシック"/>
                <w:sz w:val="22"/>
              </w:rPr>
              <w:t>【Ｂ】</w:t>
            </w:r>
          </w:p>
        </w:tc>
        <w:tc>
          <w:tcPr>
            <w:tcW w:w="841" w:type="dxa"/>
            <w:shd w:val="clear" w:color="auto" w:fill="auto"/>
            <w:vAlign w:val="top"/>
          </w:tcPr>
          <w:p>
            <w:pPr>
              <w:pStyle w:val="0"/>
              <w:rPr>
                <w:rFonts w:hint="eastAsia"/>
              </w:rPr>
            </w:pPr>
          </w:p>
        </w:tc>
        <w:tc>
          <w:tcPr>
            <w:tcW w:w="1470" w:type="dxa"/>
            <w:shd w:val="clear" w:color="auto" w:fill="auto"/>
            <w:vAlign w:val="top"/>
          </w:tcPr>
          <w:p>
            <w:pPr>
              <w:pStyle w:val="0"/>
              <w:rPr>
                <w:rFonts w:hint="eastAsia"/>
              </w:rPr>
            </w:pPr>
          </w:p>
        </w:tc>
        <w:tc>
          <w:tcPr>
            <w:tcW w:w="1470" w:type="dxa"/>
            <w:shd w:val="clear" w:color="auto" w:fill="auto"/>
            <w:vAlign w:val="top"/>
          </w:tcPr>
          <w:p>
            <w:pPr>
              <w:pStyle w:val="0"/>
              <w:rPr>
                <w:rFonts w:hint="eastAsia"/>
              </w:rPr>
            </w:pPr>
          </w:p>
        </w:tc>
        <w:tc>
          <w:tcPr>
            <w:tcW w:w="1311" w:type="dxa"/>
            <w:shd w:val="clear" w:color="auto" w:fill="auto"/>
            <w:vAlign w:val="top"/>
          </w:tcPr>
          <w:p>
            <w:pPr>
              <w:pStyle w:val="0"/>
              <w:rPr>
                <w:rFonts w:hint="eastAsia"/>
              </w:rPr>
            </w:pPr>
          </w:p>
        </w:tc>
        <w:tc>
          <w:tcPr>
            <w:tcW w:w="1368"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rPr>
      </w:pPr>
    </w:p>
    <w:p>
      <w:pPr>
        <w:pStyle w:val="0"/>
        <w:widowControl w:val="1"/>
        <w:ind w:left="701" w:hanging="701" w:hangingChars="292"/>
        <w:jc w:val="left"/>
        <w:rPr>
          <w:rFonts w:hint="eastAsia"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641" w:leftChars="200" w:hanging="221" w:hangingChars="92"/>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641" w:leftChars="200" w:hanging="221" w:hangingChars="92"/>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eastAsia" w:ascii="ＭＳ ゴシック" w:hAnsi="ＭＳ ゴシック" w:eastAsia="ＭＳ ゴシック"/>
          <w:color w:val="000000"/>
          <w:kern w:val="0"/>
        </w:rPr>
      </w:pPr>
      <w:r>
        <w:rPr>
          <w:rFonts w:hint="eastAsia" w:ascii="ＭＳ ゴシック" w:hAnsi="ＭＳ ゴシック" w:eastAsia="ＭＳ ゴシック"/>
          <w:sz w:val="24"/>
          <w:u w:val="single" w:color="auto"/>
        </w:rPr>
        <w:t>代表者名　　　　　　　　　　　　　　　　　　　　　実　印　　</w:t>
      </w:r>
    </w:p>
    <w:sectPr>
      <w:pgSz w:w="11906" w:h="16838"/>
      <w:pgMar w:top="680" w:right="964" w:bottom="567" w:left="964"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459</TotalTime>
  <Pages>2</Pages>
  <Words>18</Words>
  <Characters>1626</Characters>
  <Application>JUST Note</Application>
  <Lines>180</Lines>
  <Paragraphs>138</Paragraphs>
  <CharactersWithSpaces>2729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2025-03-19T02:54:50Z</cp:lastPrinted>
  <dcterms:created xsi:type="dcterms:W3CDTF">2012-10-12T00:42:00Z</dcterms:created>
  <dcterms:modified xsi:type="dcterms:W3CDTF">2025-03-19T02:57:03Z</dcterms:modified>
  <cp:revision>50</cp:revision>
</cp:coreProperties>
</file>