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33" w:tblpY="36"/>
        <w:tblOverlap w:val="never"/>
        <w:tblW w:w="9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42"/>
        <w:gridCol w:w="3255"/>
        <w:gridCol w:w="3336"/>
      </w:tblGrid>
      <w:tr>
        <w:trPr>
          <w:trHeight w:val="400" w:hRule="atLeast"/>
        </w:trPr>
        <w:tc>
          <w:tcPr>
            <w:tcW w:w="973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14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333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kinsoku w:val="0"/>
        <w:autoSpaceDE w:val="0"/>
        <w:autoSpaceDN w:val="0"/>
        <w:spacing w:line="366" w:lineRule="atLeast"/>
        <w:ind w:left="281" w:hanging="281" w:hangingChars="117"/>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960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rHeight w:val="12632" w:hRule="atLeast"/>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5"/>
              <w:tblW w:w="0" w:type="auto"/>
              <w:jc w:val="left"/>
              <w:tblInd w:w="315" w:type="dxa"/>
              <w:tblLayout w:type="fixed"/>
              <w:tblLook w:firstRow="1" w:lastRow="0" w:firstColumn="1" w:lastColumn="0" w:noHBand="0" w:noVBand="1" w:val="04A0"/>
            </w:tblPr>
            <w:tblGrid>
              <w:gridCol w:w="2897"/>
              <w:gridCol w:w="2897"/>
              <w:gridCol w:w="2897"/>
            </w:tblGrid>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阪</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企</w:t>
            </w:r>
            <w:bookmarkStart w:id="0" w:name="_GoBack"/>
            <w:bookmarkEnd w:id="0"/>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rPr>
              <w:t>　　認定者名　大阪府阪南市長　上甲　誠　　　印</w:t>
            </w:r>
          </w:p>
        </w:tc>
      </w:tr>
    </w:tbl>
    <w:p>
      <w:pPr>
        <w:pStyle w:val="0"/>
        <w:suppressAutoHyphens w:val="1"/>
        <w:wordWrap w:val="0"/>
        <w:spacing w:line="260" w:lineRule="exact"/>
        <w:ind w:leftChars="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60" w:lineRule="exact"/>
        <w:ind w:left="0" w:leftChars="0" w:hanging="2583" w:hangingChars="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9"/>
        <w:numPr>
          <w:ilvl w:val="0"/>
          <w:numId w:val="1"/>
        </w:numPr>
        <w:suppressAutoHyphens w:val="1"/>
        <w:spacing w:line="260" w:lineRule="exact"/>
        <w:ind w:left="0" w:leftChars="0" w:right="210" w:rightChars="100" w:hanging="756" w:hangingChars="36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9"/>
        <w:numPr>
          <w:ilvl w:val="0"/>
          <w:numId w:val="1"/>
        </w:numPr>
        <w:suppressAutoHyphens w:val="1"/>
        <w:spacing w:line="260" w:lineRule="exact"/>
        <w:ind w:left="0" w:leftChars="0" w:right="210" w:rightChars="100" w:hanging="756" w:hangingChars="36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（申請書ロ－①の添付書類）</w:t>
      </w:r>
    </w:p>
    <w:p>
      <w:pPr>
        <w:pStyle w:val="0"/>
        <w:widowControl w:val="1"/>
        <w:jc w:val="center"/>
        <w:rPr>
          <w:rFonts w:hint="eastAsia" w:ascii="ＭＳ ゴシック" w:hAnsi="ＭＳ ゴシック" w:eastAsia="ＭＳ ゴシック"/>
          <w:sz w:val="32"/>
        </w:rPr>
      </w:pPr>
      <w:r>
        <w:rPr>
          <w:rFonts w:hint="eastAsia" w:ascii="ＭＳ ゴシック" w:hAnsi="ＭＳ ゴシック" w:eastAsia="ＭＳ ゴシック"/>
          <w:sz w:val="32"/>
        </w:rPr>
        <w:t>売上高計算表</w:t>
      </w: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（表１：事業が属する業種毎の最近１年間の売上高）</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5"/>
        <w:gridCol w:w="3096"/>
        <w:gridCol w:w="3095"/>
      </w:tblGrid>
      <w:tr>
        <w:trPr/>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業種（※１）</w:t>
            </w:r>
          </w:p>
        </w:tc>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最近１年間の売上高</w:t>
            </w:r>
          </w:p>
        </w:tc>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構成比</w:t>
            </w:r>
          </w:p>
        </w:tc>
      </w:tr>
      <w:tr>
        <w:trPr>
          <w:trHeight w:val="350" w:hRule="atLeast"/>
        </w:trPr>
        <w:tc>
          <w:tcPr>
            <w:tcW w:w="3256"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ind w:firstLine="480" w:firstLine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　　　　　　　　　　業</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w:t>
            </w:r>
          </w:p>
        </w:tc>
      </w:tr>
      <w:tr>
        <w:trPr/>
        <w:tc>
          <w:tcPr>
            <w:tcW w:w="3256"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sz w:val="22"/>
              </w:rPr>
              <w:t>全体の売上高</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c>
          <w:tcPr>
            <w:tcW w:w="3256" w:type="dxa"/>
            <w:shd w:val="clear" w:color="auto" w:fill="auto"/>
            <w:vAlign w:val="top"/>
          </w:tcPr>
          <w:p>
            <w:pPr>
              <w:pStyle w:val="0"/>
              <w:widowControl w:val="1"/>
              <w:jc w:val="right"/>
              <w:rPr>
                <w:rFonts w:hint="eastAsia" w:ascii="ＭＳ ゴシック" w:hAnsi="ＭＳ ゴシック" w:eastAsia="ＭＳ ゴシック"/>
                <w:sz w:val="22"/>
              </w:rPr>
            </w:pPr>
            <w:r>
              <w:rPr>
                <w:rFonts w:hint="eastAsia" w:ascii="ＭＳ ゴシック" w:hAnsi="ＭＳ ゴシック" w:eastAsia="ＭＳ ゴシック"/>
                <w:sz w:val="22"/>
              </w:rPr>
              <w:t>100</w:t>
            </w:r>
            <w:r>
              <w:rPr>
                <w:rFonts w:hint="eastAsia" w:ascii="ＭＳ ゴシック" w:hAnsi="ＭＳ ゴシック" w:eastAsia="ＭＳ ゴシック"/>
                <w:sz w:val="22"/>
              </w:rPr>
              <w:t>％</w:t>
            </w:r>
          </w:p>
        </w:tc>
      </w:tr>
    </w:tbl>
    <w:p>
      <w:pPr>
        <w:pStyle w:val="0"/>
        <w:widowControl w:val="1"/>
        <w:ind w:left="701" w:hanging="701" w:hangingChars="292"/>
        <w:jc w:val="both"/>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sz w:val="22"/>
        </w:rPr>
        <w:t>※１：業種欄には、営んでいる事業が属する全ての業種（</w:t>
      </w:r>
      <w:r>
        <w:rPr>
          <w:rFonts w:hint="eastAsia" w:ascii="ＭＳ ゴシック" w:hAnsi="ＭＳ ゴシック" w:eastAsia="ＭＳ ゴシック"/>
          <w:color w:val="000000"/>
          <w:spacing w:val="16"/>
          <w:kern w:val="0"/>
          <w:sz w:val="22"/>
        </w:rPr>
        <w:t>日本標準産業分類の細分類番号と細分類業種名）を記載。細分類業種は全て指定業種に該当することが必要。</w:t>
      </w:r>
    </w:p>
    <w:p>
      <w:pPr>
        <w:pStyle w:val="0"/>
        <w:widowControl w:val="1"/>
        <w:jc w:val="both"/>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※２：指定業種の売上高を合算して記載することも可。</w:t>
      </w:r>
    </w:p>
    <w:p>
      <w:pPr>
        <w:pStyle w:val="0"/>
        <w:widowControl w:val="1"/>
        <w:jc w:val="left"/>
        <w:rPr>
          <w:rFonts w:hint="eastAsia" w:ascii="ＭＳ ゴシック" w:hAnsi="ＭＳ ゴシック" w:eastAsia="ＭＳ ゴシック"/>
          <w:color w:val="000000"/>
          <w:spacing w:val="16"/>
          <w:kern w:val="0"/>
        </w:rPr>
      </w:pPr>
    </w:p>
    <w:p>
      <w:pPr>
        <w:pStyle w:val="0"/>
        <w:widowControl w:val="1"/>
        <w:jc w:val="left"/>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（表２：企業全体に係る原油等の最近</w:t>
      </w:r>
      <w:r>
        <w:rPr>
          <w:rFonts w:hint="eastAsia" w:ascii="ＭＳ ゴシック" w:hAnsi="ＭＳ ゴシック" w:eastAsia="ＭＳ ゴシック"/>
          <w:color w:val="000000"/>
          <w:kern w:val="0"/>
          <w:sz w:val="22"/>
        </w:rPr>
        <w:t>1</w:t>
      </w:r>
      <w:r>
        <w:rPr>
          <w:rFonts w:hint="eastAsia" w:ascii="ＭＳ ゴシック" w:hAnsi="ＭＳ ゴシック" w:eastAsia="ＭＳ ゴシック"/>
          <w:color w:val="000000"/>
          <w:kern w:val="0"/>
          <w:sz w:val="22"/>
        </w:rPr>
        <w:t>か月間の仕入単価の上昇）⇒</w:t>
      </w:r>
      <w:r>
        <w:rPr>
          <w:rFonts w:hint="eastAsia" w:ascii="ＭＳ ゴシック" w:hAnsi="ＭＳ ゴシック" w:eastAsia="ＭＳ ゴシック"/>
          <w:color w:val="000000"/>
          <w:kern w:val="0"/>
          <w:sz w:val="22"/>
        </w:rPr>
        <w:t>20</w:t>
      </w:r>
      <w:r>
        <w:rPr>
          <w:rFonts w:hint="eastAsia" w:ascii="ＭＳ ゴシック" w:hAnsi="ＭＳ ゴシック" w:eastAsia="ＭＳ ゴシック"/>
          <w:color w:val="000000"/>
          <w:kern w:val="0"/>
          <w:sz w:val="22"/>
        </w:rPr>
        <w:t>％以上であることが必要</w:t>
      </w:r>
    </w:p>
    <w:tbl>
      <w:tblPr>
        <w:tblStyle w:val="1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5"/>
        <w:gridCol w:w="2835"/>
        <w:gridCol w:w="2731"/>
        <w:gridCol w:w="2602"/>
      </w:tblGrid>
      <w:tr>
        <w:trPr/>
        <w:tc>
          <w:tcPr>
            <w:tcW w:w="1465" w:type="dxa"/>
            <w:shd w:val="clear" w:color="auto" w:fill="auto"/>
            <w:vAlign w:val="top"/>
          </w:tcPr>
          <w:p>
            <w:pPr>
              <w:pStyle w:val="0"/>
              <w:rPr>
                <w:rFonts w:hint="eastAsia" w:ascii="ＭＳ ゴシック" w:hAnsi="ＭＳ ゴシック" w:eastAsia="ＭＳ ゴシック"/>
                <w:sz w:val="22"/>
              </w:rPr>
            </w:pPr>
          </w:p>
        </w:tc>
        <w:tc>
          <w:tcPr>
            <w:tcW w:w="2836" w:type="dxa"/>
            <w:shd w:val="clear" w:color="auto" w:fill="auto"/>
            <w:vAlign w:val="top"/>
          </w:tcPr>
          <w:p>
            <w:pPr>
              <w:pStyle w:val="0"/>
              <w:widowControl w:val="1"/>
              <w:jc w:val="center"/>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原油等の最近１か月間の</w:t>
            </w:r>
          </w:p>
          <w:p>
            <w:pPr>
              <w:pStyle w:val="0"/>
              <w:widowControl w:val="1"/>
              <w:jc w:val="center"/>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平均仕入単価</w:t>
            </w:r>
          </w:p>
        </w:tc>
        <w:tc>
          <w:tcPr>
            <w:tcW w:w="2731" w:type="dxa"/>
            <w:shd w:val="clear" w:color="auto" w:fill="auto"/>
            <w:vAlign w:val="top"/>
          </w:tcPr>
          <w:p>
            <w:pPr>
              <w:pStyle w:val="0"/>
              <w:widowControl w:val="1"/>
              <w:jc w:val="center"/>
              <w:rPr>
                <w:rFonts w:hint="eastAsia" w:ascii="ＭＳ ゴシック" w:hAnsi="ＭＳ ゴシック" w:eastAsia="ＭＳ ゴシック"/>
                <w:sz w:val="22"/>
              </w:rPr>
            </w:pPr>
            <w:r>
              <w:rPr>
                <w:rFonts w:hint="eastAsia" w:ascii="ＭＳ ゴシック" w:hAnsi="ＭＳ ゴシック" w:eastAsia="ＭＳ ゴシック"/>
                <w:w w:val="100"/>
                <w:sz w:val="22"/>
              </w:rPr>
              <w:t>原油等の前年同月の</w:t>
            </w:r>
          </w:p>
          <w:p>
            <w:pPr>
              <w:pStyle w:val="0"/>
              <w:widowControl w:val="1"/>
              <w:jc w:val="center"/>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平均仕入単価</w:t>
            </w:r>
          </w:p>
        </w:tc>
        <w:tc>
          <w:tcPr>
            <w:tcW w:w="2603" w:type="dxa"/>
            <w:shd w:val="clear" w:color="auto" w:fill="auto"/>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原油等の仕入単価の</w:t>
            </w:r>
          </w:p>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上昇率</w:t>
            </w:r>
          </w:p>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（Ｅ</w:t>
            </w:r>
            <w:r>
              <w:rPr>
                <w:rFonts w:hint="eastAsia" w:ascii="ＭＳ ゴシック" w:hAnsi="ＭＳ ゴシック" w:eastAsia="ＭＳ ゴシック"/>
              </w:rPr>
              <w:t>/</w:t>
            </w:r>
            <w:r>
              <w:rPr>
                <w:rFonts w:hint="eastAsia" w:ascii="ＭＳ ゴシック" w:hAnsi="ＭＳ ゴシック" w:eastAsia="ＭＳ ゴシック"/>
              </w:rPr>
              <w:t>ｅ×</w:t>
            </w:r>
            <w:r>
              <w:rPr>
                <w:rFonts w:hint="eastAsia" w:ascii="ＭＳ ゴシック" w:hAnsi="ＭＳ ゴシック" w:eastAsia="ＭＳ ゴシック"/>
              </w:rPr>
              <w:t>100</w:t>
            </w: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w:t>
            </w:r>
          </w:p>
        </w:tc>
      </w:tr>
      <w:tr>
        <w:trPr>
          <w:trHeight w:val="350" w:hRule="atLeast"/>
        </w:trPr>
        <w:tc>
          <w:tcPr>
            <w:tcW w:w="1465"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企業全体</w:t>
            </w:r>
          </w:p>
        </w:tc>
        <w:tc>
          <w:tcPr>
            <w:tcW w:w="2836"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円【Ｅ】</w:t>
            </w:r>
          </w:p>
        </w:tc>
        <w:tc>
          <w:tcPr>
            <w:tcW w:w="2731"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円【ｅ】</w:t>
            </w:r>
          </w:p>
        </w:tc>
        <w:tc>
          <w:tcPr>
            <w:tcW w:w="2603"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0"/>
        </w:rPr>
        <w:t>（小数点第</w:t>
      </w:r>
      <w:r>
        <w:rPr>
          <w:rFonts w:hint="eastAsia" w:ascii="ＭＳ ゴシック" w:hAnsi="ＭＳ ゴシック" w:eastAsia="ＭＳ ゴシック"/>
          <w:sz w:val="20"/>
        </w:rPr>
        <w:t>2</w:t>
      </w:r>
      <w:r>
        <w:rPr>
          <w:rFonts w:hint="eastAsia" w:ascii="ＭＳ ゴシック" w:hAnsi="ＭＳ ゴシック" w:eastAsia="ＭＳ ゴシック"/>
          <w:sz w:val="20"/>
        </w:rPr>
        <w:t>位以下切り捨て）</w:t>
      </w:r>
    </w:p>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（表３：企業全体の売上原価に占める原油等の仕入価格の割合）⇒</w:t>
      </w:r>
      <w:r>
        <w:rPr>
          <w:rFonts w:hint="eastAsia" w:ascii="ＭＳ ゴシック" w:hAnsi="ＭＳ ゴシック" w:eastAsia="ＭＳ ゴシック"/>
          <w:color w:val="000000"/>
          <w:kern w:val="0"/>
          <w:sz w:val="22"/>
        </w:rPr>
        <w:t>20</w:t>
      </w:r>
      <w:r>
        <w:rPr>
          <w:rFonts w:hint="eastAsia" w:ascii="ＭＳ ゴシック" w:hAnsi="ＭＳ ゴシック" w:eastAsia="ＭＳ ゴシック"/>
          <w:color w:val="000000"/>
          <w:kern w:val="0"/>
          <w:sz w:val="22"/>
        </w:rPr>
        <w:t>％以上であることが必要</w:t>
      </w:r>
    </w:p>
    <w:tbl>
      <w:tblPr>
        <w:tblStyle w:val="1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5"/>
        <w:gridCol w:w="2835"/>
        <w:gridCol w:w="2731"/>
        <w:gridCol w:w="2602"/>
      </w:tblGrid>
      <w:tr>
        <w:trPr/>
        <w:tc>
          <w:tcPr>
            <w:tcW w:w="1465" w:type="dxa"/>
            <w:shd w:val="clear" w:color="auto" w:fill="auto"/>
            <w:vAlign w:val="top"/>
          </w:tcPr>
          <w:p>
            <w:pPr>
              <w:pStyle w:val="0"/>
              <w:rPr>
                <w:rFonts w:hint="eastAsia" w:ascii="ＭＳ ゴシック" w:hAnsi="ＭＳ ゴシック" w:eastAsia="ＭＳ ゴシック"/>
                <w:sz w:val="22"/>
              </w:rPr>
            </w:pPr>
          </w:p>
        </w:tc>
        <w:tc>
          <w:tcPr>
            <w:tcW w:w="2836" w:type="dxa"/>
            <w:shd w:val="clear" w:color="auto" w:fill="auto"/>
            <w:vAlign w:val="top"/>
          </w:tcPr>
          <w:p>
            <w:pPr>
              <w:pStyle w:val="0"/>
              <w:widowControl w:val="1"/>
              <w:jc w:val="center"/>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最近</w:t>
            </w:r>
            <w:r>
              <w:rPr>
                <w:rFonts w:hint="eastAsia" w:ascii="ＭＳ ゴシック" w:hAnsi="ＭＳ ゴシック" w:eastAsia="ＭＳ ゴシック"/>
                <w:w w:val="100"/>
                <w:sz w:val="22"/>
              </w:rPr>
              <w:t>1</w:t>
            </w:r>
            <w:r>
              <w:rPr>
                <w:rFonts w:hint="eastAsia" w:ascii="ＭＳ ゴシック" w:hAnsi="ＭＳ ゴシック" w:eastAsia="ＭＳ ゴシック"/>
                <w:w w:val="100"/>
                <w:sz w:val="22"/>
              </w:rPr>
              <w:t>か月間の売上原価</w:t>
            </w:r>
          </w:p>
        </w:tc>
        <w:tc>
          <w:tcPr>
            <w:tcW w:w="2731" w:type="dxa"/>
            <w:shd w:val="clear" w:color="auto" w:fill="auto"/>
            <w:vAlign w:val="top"/>
          </w:tcPr>
          <w:p>
            <w:pPr>
              <w:pStyle w:val="0"/>
              <w:widowControl w:val="1"/>
              <w:spacing w:line="320" w:lineRule="exact"/>
              <w:jc w:val="center"/>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最近</w:t>
            </w:r>
            <w:r>
              <w:rPr>
                <w:rFonts w:hint="eastAsia" w:ascii="ＭＳ ゴシック" w:hAnsi="ＭＳ ゴシック" w:eastAsia="ＭＳ ゴシック"/>
                <w:w w:val="100"/>
                <w:sz w:val="22"/>
              </w:rPr>
              <w:t>1</w:t>
            </w:r>
            <w:r>
              <w:rPr>
                <w:rFonts w:hint="eastAsia" w:ascii="ＭＳ ゴシック" w:hAnsi="ＭＳ ゴシック" w:eastAsia="ＭＳ ゴシック"/>
                <w:w w:val="100"/>
                <w:sz w:val="22"/>
              </w:rPr>
              <w:t>か月間の売上原価に対応する原油等の</w:t>
            </w:r>
          </w:p>
          <w:p>
            <w:pPr>
              <w:pStyle w:val="0"/>
              <w:widowControl w:val="1"/>
              <w:spacing w:line="320" w:lineRule="exact"/>
              <w:jc w:val="center"/>
              <w:rPr>
                <w:rFonts w:hint="eastAsia" w:ascii="ＭＳ ゴシック" w:hAnsi="ＭＳ ゴシック" w:eastAsia="ＭＳ ゴシック"/>
                <w:w w:val="100"/>
                <w:sz w:val="22"/>
              </w:rPr>
            </w:pPr>
            <w:r>
              <w:rPr>
                <w:rFonts w:hint="eastAsia" w:ascii="ＭＳ ゴシック" w:hAnsi="ＭＳ ゴシック" w:eastAsia="ＭＳ ゴシック"/>
                <w:w w:val="100"/>
                <w:sz w:val="22"/>
              </w:rPr>
              <w:t>仕入価格</w:t>
            </w:r>
          </w:p>
        </w:tc>
        <w:tc>
          <w:tcPr>
            <w:tcW w:w="2603" w:type="dxa"/>
            <w:shd w:val="clear" w:color="auto" w:fill="auto"/>
            <w:vAlign w:val="top"/>
          </w:tcPr>
          <w:p>
            <w:pPr>
              <w:pStyle w:val="0"/>
              <w:spacing w:line="320" w:lineRule="exact"/>
              <w:jc w:val="center"/>
              <w:rPr>
                <w:rFonts w:hint="eastAsia" w:ascii="ＭＳ ゴシック" w:hAnsi="ＭＳ ゴシック" w:eastAsia="ＭＳ ゴシック"/>
              </w:rPr>
            </w:pPr>
            <w:r>
              <w:rPr>
                <w:rFonts w:hint="eastAsia" w:ascii="ＭＳ ゴシック" w:hAnsi="ＭＳ ゴシック" w:eastAsia="ＭＳ ゴシック"/>
              </w:rPr>
              <w:t>売上原価に占める原油等の仕入価格の割合</w:t>
            </w:r>
          </w:p>
          <w:p>
            <w:pPr>
              <w:pStyle w:val="0"/>
              <w:spacing w:line="320" w:lineRule="exact"/>
              <w:jc w:val="center"/>
              <w:rPr>
                <w:rFonts w:hint="eastAsia" w:ascii="ＭＳ ゴシック" w:hAnsi="ＭＳ ゴシック" w:eastAsia="ＭＳ ゴシック"/>
              </w:rPr>
            </w:pPr>
            <w:r>
              <w:rPr>
                <w:rFonts w:hint="eastAsia" w:ascii="ＭＳ ゴシック" w:hAnsi="ＭＳ ゴシック" w:eastAsia="ＭＳ ゴシック"/>
              </w:rPr>
              <w:t>（Ｓ</w:t>
            </w:r>
            <w:r>
              <w:rPr>
                <w:rFonts w:hint="eastAsia" w:ascii="ＭＳ ゴシック" w:hAnsi="ＭＳ ゴシック" w:eastAsia="ＭＳ ゴシック"/>
              </w:rPr>
              <w:t>/</w:t>
            </w:r>
            <w:r>
              <w:rPr>
                <w:rFonts w:hint="eastAsia" w:ascii="ＭＳ ゴシック" w:hAnsi="ＭＳ ゴシック" w:eastAsia="ＭＳ ゴシック"/>
              </w:rPr>
              <w:t>Ｃ×</w:t>
            </w:r>
            <w:r>
              <w:rPr>
                <w:rFonts w:hint="eastAsia" w:ascii="ＭＳ ゴシック" w:hAnsi="ＭＳ ゴシック" w:eastAsia="ＭＳ ゴシック"/>
              </w:rPr>
              <w:t>100</w:t>
            </w:r>
            <w:r>
              <w:rPr>
                <w:rFonts w:hint="eastAsia" w:ascii="ＭＳ ゴシック" w:hAnsi="ＭＳ ゴシック" w:eastAsia="ＭＳ ゴシック"/>
              </w:rPr>
              <w:t>）</w:t>
            </w:r>
          </w:p>
        </w:tc>
      </w:tr>
      <w:tr>
        <w:trPr>
          <w:trHeight w:val="350" w:hRule="atLeast"/>
        </w:trPr>
        <w:tc>
          <w:tcPr>
            <w:tcW w:w="1465" w:type="dxa"/>
            <w:shd w:val="clear" w:color="auto" w:fill="auto"/>
            <w:vAlign w:val="top"/>
          </w:tcPr>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sz w:val="22"/>
              </w:rPr>
              <w:t>企業全体</w:t>
            </w:r>
          </w:p>
        </w:tc>
        <w:tc>
          <w:tcPr>
            <w:tcW w:w="2836"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円【Ｃ】</w:t>
            </w:r>
          </w:p>
        </w:tc>
        <w:tc>
          <w:tcPr>
            <w:tcW w:w="2731"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円【Ｓ】</w:t>
            </w:r>
          </w:p>
        </w:tc>
        <w:tc>
          <w:tcPr>
            <w:tcW w:w="2603"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widowControl w:val="1"/>
        <w:jc w:val="righ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sz w:val="20"/>
        </w:rPr>
        <w:t>（小数点第</w:t>
      </w:r>
      <w:r>
        <w:rPr>
          <w:rFonts w:hint="eastAsia" w:ascii="ＭＳ ゴシック" w:hAnsi="ＭＳ ゴシック" w:eastAsia="ＭＳ ゴシック"/>
          <w:sz w:val="20"/>
        </w:rPr>
        <w:t>2</w:t>
      </w:r>
      <w:r>
        <w:rPr>
          <w:rFonts w:hint="eastAsia" w:ascii="ＭＳ ゴシック" w:hAnsi="ＭＳ ゴシック" w:eastAsia="ＭＳ ゴシック"/>
          <w:sz w:val="20"/>
        </w:rPr>
        <w:t>位以下切り捨て）</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3"/>
          <w:w w:val="93"/>
          <w:kern w:val="0"/>
          <w:sz w:val="22"/>
          <w:fitText w:val="9900" w:id="1"/>
        </w:rPr>
        <w:t>※最近１か月間の売上原価及び原油等の仕入価格は、直近の決算期の値を用いていただいても結構です</w:t>
      </w:r>
      <w:r>
        <w:rPr>
          <w:rFonts w:hint="eastAsia" w:ascii="ＭＳ ゴシック" w:hAnsi="ＭＳ ゴシック" w:eastAsia="ＭＳ ゴシック"/>
          <w:color w:val="000000"/>
          <w:spacing w:val="5"/>
          <w:w w:val="93"/>
          <w:kern w:val="0"/>
          <w:sz w:val="22"/>
          <w:fitText w:val="9900" w:id="1"/>
        </w:rPr>
        <w:t>。</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sz w:val="22"/>
        </w:rPr>
        <w:t>（表４：企業全体の製品等価格への転嫁の状況）⇒</w:t>
      </w:r>
      <w:r>
        <w:rPr>
          <w:rFonts w:hint="eastAsia" w:ascii="ＭＳ ゴシック" w:hAnsi="ＭＳ ゴシック" w:eastAsia="ＭＳ ゴシック"/>
          <w:color w:val="000000"/>
          <w:kern w:val="0"/>
          <w:sz w:val="22"/>
        </w:rPr>
        <w:t>Ｐ＞０であることが必要</w:t>
      </w:r>
    </w:p>
    <w:tbl>
      <w:tblPr>
        <w:tblStyle w:val="11"/>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5"/>
        <w:gridCol w:w="1575"/>
        <w:gridCol w:w="1575"/>
        <w:gridCol w:w="945"/>
        <w:gridCol w:w="1470"/>
        <w:gridCol w:w="1470"/>
        <w:gridCol w:w="1050"/>
        <w:gridCol w:w="1155"/>
      </w:tblGrid>
      <w:tr>
        <w:trPr/>
        <w:tc>
          <w:tcPr>
            <w:tcW w:w="625" w:type="dxa"/>
            <w:shd w:val="clear" w:color="auto" w:fill="auto"/>
            <w:vAlign w:val="top"/>
          </w:tcPr>
          <w:p>
            <w:pPr>
              <w:pStyle w:val="0"/>
              <w:rPr>
                <w:rFonts w:hint="eastAsia" w:ascii="ＭＳ ゴシック" w:hAnsi="ＭＳ ゴシック" w:eastAsia="ＭＳ ゴシック"/>
                <w:sz w:val="22"/>
              </w:rPr>
            </w:pPr>
          </w:p>
        </w:tc>
        <w:tc>
          <w:tcPr>
            <w:tcW w:w="1575" w:type="dxa"/>
            <w:shd w:val="clear" w:color="auto" w:fill="auto"/>
            <w:vAlign w:val="top"/>
          </w:tcPr>
          <w:p>
            <w:pPr>
              <w:pStyle w:val="0"/>
              <w:widowControl w:val="1"/>
              <w:spacing w:line="320" w:lineRule="exact"/>
              <w:jc w:val="center"/>
              <w:rPr>
                <w:rFonts w:hint="eastAsia" w:ascii="ＭＳ ゴシック" w:hAnsi="ＭＳ ゴシック" w:eastAsia="ＭＳ ゴシック"/>
                <w:w w:val="90"/>
                <w:sz w:val="20"/>
              </w:rPr>
            </w:pPr>
            <w:r>
              <w:rPr>
                <w:rFonts w:hint="eastAsia" w:ascii="ＭＳ ゴシック" w:hAnsi="ＭＳ ゴシック" w:eastAsia="ＭＳ ゴシック"/>
                <w:w w:val="90"/>
                <w:sz w:val="20"/>
              </w:rPr>
              <w:t>最近３か月間の</w:t>
            </w:r>
          </w:p>
          <w:p>
            <w:pPr>
              <w:pStyle w:val="0"/>
              <w:widowControl w:val="1"/>
              <w:spacing w:line="320" w:lineRule="exact"/>
              <w:jc w:val="center"/>
              <w:rPr>
                <w:rFonts w:hint="eastAsia" w:ascii="ＭＳ ゴシック" w:hAnsi="ＭＳ ゴシック" w:eastAsia="ＭＳ ゴシック"/>
                <w:w w:val="90"/>
                <w:sz w:val="20"/>
              </w:rPr>
            </w:pPr>
            <w:r>
              <w:rPr>
                <w:rFonts w:hint="eastAsia" w:ascii="ＭＳ ゴシック" w:hAnsi="ＭＳ ゴシック" w:eastAsia="ＭＳ ゴシック"/>
                <w:w w:val="90"/>
                <w:sz w:val="20"/>
              </w:rPr>
              <w:t>原油等の</w:t>
            </w:r>
          </w:p>
          <w:p>
            <w:pPr>
              <w:pStyle w:val="0"/>
              <w:widowControl w:val="1"/>
              <w:spacing w:line="320" w:lineRule="exact"/>
              <w:jc w:val="center"/>
              <w:rPr>
                <w:rFonts w:hint="eastAsia" w:ascii="ＭＳ ゴシック" w:hAnsi="ＭＳ ゴシック" w:eastAsia="ＭＳ ゴシック"/>
                <w:w w:val="90"/>
                <w:sz w:val="20"/>
              </w:rPr>
            </w:pPr>
            <w:r>
              <w:rPr>
                <w:rFonts w:hint="eastAsia" w:ascii="ＭＳ ゴシック" w:hAnsi="ＭＳ ゴシック" w:eastAsia="ＭＳ ゴシック"/>
                <w:w w:val="90"/>
                <w:sz w:val="20"/>
              </w:rPr>
              <w:t>仕入価格</w:t>
            </w:r>
          </w:p>
        </w:tc>
        <w:tc>
          <w:tcPr>
            <w:tcW w:w="1575" w:type="dxa"/>
            <w:shd w:val="clear" w:color="auto" w:fill="auto"/>
            <w:vAlign w:val="top"/>
          </w:tcPr>
          <w:p>
            <w:pPr>
              <w:pStyle w:val="0"/>
              <w:widowControl w:val="1"/>
              <w:spacing w:line="320" w:lineRule="exact"/>
              <w:jc w:val="center"/>
              <w:rPr>
                <w:rFonts w:hint="eastAsia" w:ascii="ＭＳ ゴシック" w:hAnsi="ＭＳ ゴシック" w:eastAsia="ＭＳ ゴシック"/>
                <w:w w:val="90"/>
                <w:sz w:val="20"/>
              </w:rPr>
            </w:pPr>
            <w:r>
              <w:rPr>
                <w:rFonts w:hint="eastAsia" w:ascii="ＭＳ ゴシック" w:hAnsi="ＭＳ ゴシック" w:eastAsia="ＭＳ ゴシック"/>
                <w:w w:val="90"/>
                <w:sz w:val="20"/>
              </w:rPr>
              <w:t>最近３か月間の</w:t>
            </w:r>
          </w:p>
          <w:p>
            <w:pPr>
              <w:pStyle w:val="0"/>
              <w:widowControl w:val="1"/>
              <w:spacing w:line="320" w:lineRule="exact"/>
              <w:jc w:val="center"/>
              <w:rPr>
                <w:rFonts w:hint="eastAsia" w:ascii="ＭＳ ゴシック" w:hAnsi="ＭＳ ゴシック" w:eastAsia="ＭＳ ゴシック"/>
                <w:w w:val="100"/>
                <w:sz w:val="20"/>
              </w:rPr>
            </w:pPr>
            <w:r>
              <w:rPr>
                <w:rFonts w:hint="eastAsia" w:ascii="ＭＳ ゴシック" w:hAnsi="ＭＳ ゴシック" w:eastAsia="ＭＳ ゴシック"/>
                <w:w w:val="90"/>
                <w:sz w:val="20"/>
              </w:rPr>
              <w:t>売上高</w:t>
            </w:r>
          </w:p>
        </w:tc>
        <w:tc>
          <w:tcPr>
            <w:tcW w:w="945" w:type="dxa"/>
            <w:shd w:val="clear" w:color="auto" w:fill="auto"/>
            <w:vAlign w:val="top"/>
          </w:tcPr>
          <w:p>
            <w:pPr>
              <w:pStyle w:val="0"/>
              <w:spacing w:line="320" w:lineRule="exact"/>
              <w:jc w:val="center"/>
              <w:rPr>
                <w:rFonts w:hint="eastAsia" w:ascii="ＭＳ ゴシック" w:hAnsi="ＭＳ ゴシック" w:eastAsia="ＭＳ ゴシック"/>
                <w:w w:val="80"/>
                <w:sz w:val="20"/>
              </w:rPr>
            </w:pPr>
            <w:r>
              <w:rPr>
                <w:rFonts w:hint="eastAsia" w:ascii="ＭＳ ゴシック" w:hAnsi="ＭＳ ゴシック" w:eastAsia="ＭＳ ゴシック"/>
                <w:w w:val="80"/>
                <w:sz w:val="20"/>
              </w:rPr>
              <w:t>（Ａ</w:t>
            </w:r>
            <w:r>
              <w:rPr>
                <w:rFonts w:hint="eastAsia" w:ascii="ＭＳ ゴシック" w:hAnsi="ＭＳ ゴシック" w:eastAsia="ＭＳ ゴシック"/>
                <w:w w:val="80"/>
                <w:sz w:val="20"/>
              </w:rPr>
              <w:t>/</w:t>
            </w:r>
            <w:r>
              <w:rPr>
                <w:rFonts w:hint="eastAsia" w:ascii="ＭＳ ゴシック" w:hAnsi="ＭＳ ゴシック" w:eastAsia="ＭＳ ゴシック"/>
                <w:w w:val="80"/>
                <w:sz w:val="20"/>
              </w:rPr>
              <w:t>Ｂ）</w:t>
            </w:r>
          </w:p>
        </w:tc>
        <w:tc>
          <w:tcPr>
            <w:tcW w:w="1470" w:type="dxa"/>
            <w:shd w:val="clear" w:color="auto" w:fill="auto"/>
            <w:vAlign w:val="top"/>
          </w:tcPr>
          <w:p>
            <w:pPr>
              <w:pStyle w:val="0"/>
              <w:widowControl w:val="1"/>
              <w:spacing w:line="320" w:lineRule="exact"/>
              <w:jc w:val="center"/>
              <w:rPr>
                <w:rFonts w:hint="eastAsia"/>
                <w:sz w:val="20"/>
              </w:rPr>
            </w:pPr>
            <w:r>
              <w:rPr>
                <w:rFonts w:hint="eastAsia" w:ascii="ＭＳ ゴシック" w:hAnsi="ＭＳ ゴシック" w:eastAsia="ＭＳ ゴシック"/>
                <w:w w:val="90"/>
                <w:sz w:val="20"/>
              </w:rPr>
              <w:t>前年同期の</w:t>
            </w:r>
          </w:p>
          <w:p>
            <w:pPr>
              <w:pStyle w:val="0"/>
              <w:widowControl w:val="1"/>
              <w:spacing w:line="320" w:lineRule="exact"/>
              <w:jc w:val="center"/>
              <w:rPr>
                <w:rFonts w:hint="eastAsia"/>
                <w:sz w:val="20"/>
              </w:rPr>
            </w:pPr>
            <w:r>
              <w:rPr>
                <w:rFonts w:hint="eastAsia" w:ascii="ＭＳ ゴシック" w:hAnsi="ＭＳ ゴシック" w:eastAsia="ＭＳ ゴシック"/>
                <w:w w:val="90"/>
                <w:sz w:val="20"/>
              </w:rPr>
              <w:t>原油等の</w:t>
            </w:r>
          </w:p>
          <w:p>
            <w:pPr>
              <w:pStyle w:val="0"/>
              <w:widowControl w:val="1"/>
              <w:spacing w:line="320" w:lineRule="exact"/>
              <w:jc w:val="center"/>
              <w:rPr>
                <w:rFonts w:hint="eastAsia"/>
                <w:sz w:val="20"/>
              </w:rPr>
            </w:pPr>
            <w:r>
              <w:rPr>
                <w:rFonts w:hint="eastAsia" w:ascii="ＭＳ ゴシック" w:hAnsi="ＭＳ ゴシック" w:eastAsia="ＭＳ ゴシック"/>
                <w:w w:val="90"/>
                <w:sz w:val="20"/>
              </w:rPr>
              <w:t>仕入価格</w:t>
            </w:r>
          </w:p>
        </w:tc>
        <w:tc>
          <w:tcPr>
            <w:tcW w:w="1470" w:type="dxa"/>
            <w:shd w:val="clear" w:color="auto" w:fill="auto"/>
            <w:vAlign w:val="top"/>
          </w:tcPr>
          <w:p>
            <w:pPr>
              <w:pStyle w:val="0"/>
              <w:jc w:val="center"/>
              <w:rPr>
                <w:rFonts w:hint="eastAsia"/>
                <w:sz w:val="20"/>
              </w:rPr>
            </w:pPr>
            <w:r>
              <w:rPr>
                <w:rFonts w:hint="eastAsia" w:ascii="ＭＳ ゴシック" w:hAnsi="ＭＳ ゴシック" w:eastAsia="ＭＳ ゴシック"/>
                <w:w w:val="90"/>
                <w:sz w:val="20"/>
              </w:rPr>
              <w:t>前年同期の</w:t>
            </w:r>
          </w:p>
          <w:p>
            <w:pPr>
              <w:pStyle w:val="0"/>
              <w:jc w:val="center"/>
              <w:rPr>
                <w:rFonts w:hint="eastAsia"/>
                <w:sz w:val="20"/>
              </w:rPr>
            </w:pPr>
            <w:r>
              <w:rPr>
                <w:rFonts w:hint="eastAsia" w:ascii="ＭＳ ゴシック" w:hAnsi="ＭＳ ゴシック" w:eastAsia="ＭＳ ゴシック"/>
                <w:w w:val="90"/>
                <w:sz w:val="20"/>
              </w:rPr>
              <w:t>売上高</w:t>
            </w:r>
          </w:p>
        </w:tc>
        <w:tc>
          <w:tcPr>
            <w:tcW w:w="1050" w:type="dxa"/>
            <w:shd w:val="clear" w:color="auto" w:fill="auto"/>
            <w:vAlign w:val="top"/>
          </w:tcPr>
          <w:p>
            <w:pPr>
              <w:pStyle w:val="0"/>
              <w:jc w:val="center"/>
              <w:rPr>
                <w:rFonts w:hint="eastAsia"/>
                <w:sz w:val="20"/>
              </w:rPr>
            </w:pPr>
            <w:r>
              <w:rPr>
                <w:rFonts w:hint="eastAsia" w:ascii="ＭＳ ゴシック" w:hAnsi="ＭＳ ゴシック" w:eastAsia="ＭＳ ゴシック"/>
                <w:sz w:val="20"/>
              </w:rPr>
              <w:t>（ａ</w:t>
            </w:r>
            <w:r>
              <w:rPr>
                <w:rFonts w:hint="eastAsia" w:ascii="ＭＳ ゴシック" w:hAnsi="ＭＳ ゴシック" w:eastAsia="ＭＳ ゴシック"/>
                <w:sz w:val="20"/>
              </w:rPr>
              <w:t>/b</w:t>
            </w:r>
            <w:r>
              <w:rPr>
                <w:rFonts w:hint="eastAsia" w:ascii="ＭＳ ゴシック" w:hAnsi="ＭＳ ゴシック" w:eastAsia="ＭＳ ゴシック"/>
                <w:sz w:val="20"/>
              </w:rPr>
              <w:t>）</w:t>
            </w:r>
          </w:p>
        </w:tc>
        <w:tc>
          <w:tcPr>
            <w:tcW w:w="1155" w:type="dxa"/>
            <w:shd w:val="clear" w:color="auto" w:fill="auto"/>
            <w:vAlign w:val="top"/>
          </w:tcPr>
          <w:p>
            <w:pPr>
              <w:pStyle w:val="0"/>
              <w:jc w:val="center"/>
              <w:rPr>
                <w:rFonts w:hint="eastAsia"/>
                <w:w w:val="80"/>
                <w:sz w:val="20"/>
              </w:rPr>
            </w:pPr>
            <w:r>
              <w:rPr>
                <w:rFonts w:hint="eastAsia" w:ascii="ＭＳ ゴシック" w:hAnsi="ＭＳ ゴシック" w:eastAsia="ＭＳ ゴシック"/>
                <w:w w:val="80"/>
                <w:sz w:val="20"/>
              </w:rPr>
              <w:t>（Ａ</w:t>
            </w:r>
            <w:r>
              <w:rPr>
                <w:rFonts w:hint="eastAsia" w:ascii="ＭＳ ゴシック" w:hAnsi="ＭＳ ゴシック" w:eastAsia="ＭＳ ゴシック"/>
                <w:w w:val="80"/>
                <w:sz w:val="20"/>
              </w:rPr>
              <w:t>/</w:t>
            </w:r>
            <w:r>
              <w:rPr>
                <w:rFonts w:hint="eastAsia" w:ascii="ＭＳ ゴシック" w:hAnsi="ＭＳ ゴシック" w:eastAsia="ＭＳ ゴシック"/>
                <w:w w:val="80"/>
                <w:sz w:val="20"/>
              </w:rPr>
              <w:t>Ｂ）－</w:t>
            </w:r>
          </w:p>
          <w:p>
            <w:pPr>
              <w:pStyle w:val="0"/>
              <w:jc w:val="center"/>
              <w:rPr>
                <w:rFonts w:hint="eastAsia"/>
                <w:w w:val="80"/>
                <w:sz w:val="20"/>
              </w:rPr>
            </w:pPr>
            <w:r>
              <w:rPr>
                <w:rFonts w:hint="eastAsia" w:ascii="ＭＳ ゴシック" w:hAnsi="ＭＳ ゴシック" w:eastAsia="ＭＳ ゴシック"/>
                <w:w w:val="80"/>
                <w:sz w:val="20"/>
              </w:rPr>
              <w:t>（ａ</w:t>
            </w:r>
            <w:r>
              <w:rPr>
                <w:rFonts w:hint="eastAsia" w:ascii="ＭＳ ゴシック" w:hAnsi="ＭＳ ゴシック" w:eastAsia="ＭＳ ゴシック"/>
                <w:w w:val="80"/>
                <w:sz w:val="20"/>
              </w:rPr>
              <w:t>/</w:t>
            </w:r>
            <w:r>
              <w:rPr>
                <w:rFonts w:hint="eastAsia" w:ascii="ＭＳ ゴシック" w:hAnsi="ＭＳ ゴシック" w:eastAsia="ＭＳ ゴシック"/>
                <w:w w:val="80"/>
                <w:sz w:val="20"/>
              </w:rPr>
              <w:t>ｂ）＝Ｐ</w:t>
            </w:r>
          </w:p>
        </w:tc>
      </w:tr>
      <w:tr>
        <w:trPr>
          <w:trHeight w:val="350" w:hRule="atLeast"/>
        </w:trPr>
        <w:tc>
          <w:tcPr>
            <w:tcW w:w="625" w:type="dxa"/>
            <w:shd w:val="clear" w:color="auto" w:fill="auto"/>
            <w:vAlign w:val="top"/>
          </w:tcPr>
          <w:p>
            <w:pPr>
              <w:pStyle w:val="0"/>
              <w:widowControl w:val="1"/>
              <w:jc w:val="left"/>
              <w:rPr>
                <w:rFonts w:hint="eastAsia" w:ascii="ＭＳ ゴシック" w:hAnsi="ＭＳ ゴシック" w:eastAsia="ＭＳ ゴシック"/>
                <w:w w:val="90"/>
                <w:sz w:val="22"/>
              </w:rPr>
            </w:pPr>
            <w:r>
              <w:rPr>
                <w:rFonts w:hint="eastAsia" w:ascii="ＭＳ ゴシック" w:hAnsi="ＭＳ ゴシック" w:eastAsia="ＭＳ ゴシック"/>
                <w:w w:val="90"/>
                <w:sz w:val="22"/>
              </w:rPr>
              <w:t>企業</w:t>
            </w:r>
          </w:p>
          <w:p>
            <w:pPr>
              <w:pStyle w:val="0"/>
              <w:widowControl w:val="1"/>
              <w:jc w:val="left"/>
              <w:rPr>
                <w:rFonts w:hint="eastAsia" w:ascii="ＭＳ ゴシック" w:hAnsi="ＭＳ ゴシック" w:eastAsia="ＭＳ ゴシック"/>
                <w:sz w:val="22"/>
              </w:rPr>
            </w:pPr>
            <w:r>
              <w:rPr>
                <w:rFonts w:hint="eastAsia" w:ascii="ＭＳ ゴシック" w:hAnsi="ＭＳ ゴシック" w:eastAsia="ＭＳ ゴシック"/>
                <w:w w:val="90"/>
                <w:sz w:val="22"/>
              </w:rPr>
              <w:t>全体</w:t>
            </w:r>
          </w:p>
        </w:tc>
        <w:tc>
          <w:tcPr>
            <w:tcW w:w="157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円</w:t>
            </w:r>
          </w:p>
          <w:p>
            <w:pPr>
              <w:pStyle w:val="0"/>
              <w:widowControl w:val="1"/>
              <w:ind w:right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【Ａ】</w:t>
            </w:r>
          </w:p>
        </w:tc>
        <w:tc>
          <w:tcPr>
            <w:tcW w:w="1575"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w:t>
            </w:r>
          </w:p>
          <w:p>
            <w:pPr>
              <w:pStyle w:val="0"/>
              <w:widowControl w:val="1"/>
              <w:ind w:right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【Ｂ】</w:t>
            </w:r>
          </w:p>
        </w:tc>
        <w:tc>
          <w:tcPr>
            <w:tcW w:w="945" w:type="dxa"/>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tc>
        <w:tc>
          <w:tcPr>
            <w:tcW w:w="1470"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円</w:t>
            </w:r>
          </w:p>
          <w:p>
            <w:pPr>
              <w:pStyle w:val="0"/>
              <w:widowControl w:val="1"/>
              <w:ind w:rightChars="0"/>
              <w:jc w:val="center"/>
              <w:rPr>
                <w:rFonts w:hint="eastAsia"/>
              </w:rPr>
            </w:pPr>
            <w:r>
              <w:rPr>
                <w:rFonts w:hint="eastAsia" w:ascii="ＭＳ ゴシック" w:hAnsi="ＭＳ ゴシック" w:eastAsia="ＭＳ ゴシック"/>
                <w:sz w:val="22"/>
              </w:rPr>
              <w:t>【ａ】</w:t>
            </w:r>
          </w:p>
        </w:tc>
        <w:tc>
          <w:tcPr>
            <w:tcW w:w="1470" w:type="dxa"/>
            <w:shd w:val="clear" w:color="auto" w:fill="auto"/>
            <w:vAlign w:val="top"/>
          </w:tcPr>
          <w:p>
            <w:pPr>
              <w:pStyle w:val="0"/>
              <w:widowControl w:val="1"/>
              <w:ind w:rightChars="0"/>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p>
            <w:pPr>
              <w:pStyle w:val="0"/>
              <w:jc w:val="center"/>
              <w:rPr>
                <w:rFonts w:hint="eastAsia"/>
              </w:rPr>
            </w:pPr>
            <w:r>
              <w:rPr>
                <w:rFonts w:hint="eastAsia" w:ascii="ＭＳ ゴシック" w:hAnsi="ＭＳ ゴシック" w:eastAsia="ＭＳ ゴシック"/>
                <w:sz w:val="22"/>
              </w:rPr>
              <w:t>【ｂ】</w:t>
            </w:r>
          </w:p>
        </w:tc>
        <w:tc>
          <w:tcPr>
            <w:tcW w:w="1050" w:type="dxa"/>
            <w:shd w:val="clear" w:color="auto" w:fill="auto"/>
            <w:vAlign w:val="top"/>
          </w:tcPr>
          <w:p>
            <w:pPr>
              <w:pStyle w:val="0"/>
              <w:rPr>
                <w:rFonts w:hint="eastAsia"/>
              </w:rPr>
            </w:pPr>
          </w:p>
        </w:tc>
        <w:tc>
          <w:tcPr>
            <w:tcW w:w="1155" w:type="dxa"/>
            <w:shd w:val="clear" w:color="auto" w:fill="auto"/>
            <w:vAlign w:val="center"/>
          </w:tcPr>
          <w:p>
            <w:pPr>
              <w:pStyle w:val="0"/>
              <w:jc w:val="left"/>
              <w:rPr>
                <w:rFonts w:hint="eastAsia"/>
              </w:rPr>
            </w:pPr>
            <w:r>
              <w:rPr>
                <w:rFonts w:hint="eastAsia" w:ascii="ＭＳ ゴシック" w:hAnsi="ＭＳ ゴシック" w:eastAsia="ＭＳ ゴシック"/>
              </w:rPr>
              <w:t>Ｐ＝</w:t>
            </w:r>
          </w:p>
        </w:tc>
      </w:tr>
    </w:tbl>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rPr>
      </w:pPr>
    </w:p>
    <w:p>
      <w:pPr>
        <w:pStyle w:val="0"/>
        <w:widowControl w:val="1"/>
        <w:ind w:left="701" w:hanging="701" w:hangingChars="292"/>
        <w:jc w:val="left"/>
        <w:rPr>
          <w:rFonts w:hint="eastAsia"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701" w:hanging="701" w:hangingChars="292"/>
        <w:jc w:val="left"/>
        <w:rPr>
          <w:rFonts w:hint="eastAsia" w:ascii="ＭＳ ゴシック" w:hAnsi="ＭＳ ゴシック" w:eastAsia="ＭＳ ゴシック"/>
          <w:sz w:val="24"/>
        </w:rPr>
      </w:pPr>
    </w:p>
    <w:p>
      <w:pPr>
        <w:pStyle w:val="0"/>
        <w:widowControl w:val="1"/>
        <w:ind w:left="641" w:leftChars="200" w:hanging="221" w:hangingChars="92"/>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641" w:leftChars="200" w:hanging="221" w:hangingChars="92"/>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eastAsia" w:ascii="ＭＳ ゴシック" w:hAnsi="ＭＳ ゴシック" w:eastAsia="ＭＳ ゴシック"/>
          <w:color w:val="000000"/>
          <w:kern w:val="0"/>
        </w:rPr>
      </w:pPr>
      <w:r>
        <w:rPr>
          <w:rFonts w:hint="eastAsia" w:ascii="ＭＳ ゴシック" w:hAnsi="ＭＳ ゴシック" w:eastAsia="ＭＳ ゴシック"/>
          <w:sz w:val="24"/>
          <w:u w:val="single" w:color="auto"/>
        </w:rPr>
        <w:t>代表者名　　　　　　　　　　　　　　　　　　　　　実　印　　</w:t>
      </w:r>
    </w:p>
    <w:sectPr>
      <w:pgSz w:w="11906" w:h="16838"/>
      <w:pgMar w:top="680" w:right="1134" w:bottom="567" w:left="1134"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2</Pages>
  <Words>15</Words>
  <Characters>1498</Characters>
  <Application>JUST Note</Application>
  <Lines>154</Lines>
  <Paragraphs>123</Paragraphs>
  <CharactersWithSpaces>2352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2025-03-18T06:56:03Z</cp:lastPrinted>
  <dcterms:created xsi:type="dcterms:W3CDTF">2012-10-12T00:42:00Z</dcterms:created>
  <dcterms:modified xsi:type="dcterms:W3CDTF">2025-03-18T07:12:01Z</dcterms:modified>
  <cp:revision>36</cp:revision>
</cp:coreProperties>
</file>