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78" w:leftChars="-193" w:hanging="27" w:hangingChars="13"/>
        <w:rPr>
          <w:rFonts w:hint="default" w:asciiTheme="minorEastAsia" w:hAnsi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-260985</wp:posOffset>
                </wp:positionH>
                <wp:positionV relativeFrom="paragraph">
                  <wp:posOffset>181610</wp:posOffset>
                </wp:positionV>
                <wp:extent cx="5984875" cy="843153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5984875" cy="84315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position-vertical-relative:text;z-index:2;mso-wrap-distance-left:9pt;width:471.25pt;height:663.9pt;mso-position-horizontal-relative:text;position:absolute;margin-left:-20.55pt;margin-top:14.3pt;mso-wrap-distance-bottom:0pt;mso-wrap-distance-right:9pt;mso-wrap-distance-top:0pt;"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kern w:val="0"/>
        </w:rPr>
        <w:t>様式第２－①－ロ</w:t>
      </w:r>
    </w:p>
    <w:p>
      <w:pPr>
        <w:pStyle w:val="0"/>
        <w:jc w:val="center"/>
        <w:rPr>
          <w:rFonts w:hint="default" w:asciiTheme="minorEastAsia" w:hAnsiTheme="minorEastAsia"/>
        </w:rPr>
      </w:pPr>
      <w:r>
        <w:rPr>
          <w:rFonts w:hint="eastAsia" w:asciiTheme="minorEastAsia" w:hAnsiTheme="minorEastAsia"/>
        </w:rPr>
        <w:t>中小企業信用保険法第２条第５項第２号ロの規定による認定申請書（①－ロ）</w:t>
      </w:r>
    </w:p>
    <w:p>
      <w:pPr>
        <w:pStyle w:val="0"/>
        <w:jc w:val="center"/>
        <w:rPr>
          <w:rFonts w:hint="default" w:asciiTheme="minorEastAsia" w:hAnsiTheme="minorEastAsia"/>
        </w:rPr>
      </w:pPr>
    </w:p>
    <w:p>
      <w:pPr>
        <w:pStyle w:val="0"/>
        <w:ind w:right="210"/>
        <w:jc w:val="right"/>
        <w:rPr>
          <w:rFonts w:hint="default" w:asciiTheme="minorEastAsia" w:hAnsiTheme="minorEastAsia"/>
        </w:rPr>
      </w:pPr>
      <w:r>
        <w:rPr>
          <w:rFonts w:hint="eastAsia" w:asciiTheme="minorEastAsia" w:hAnsiTheme="minorEastAsia"/>
        </w:rPr>
        <w:t>令和　　年　　月　　日</w:t>
      </w:r>
    </w:p>
    <w:p>
      <w:pPr>
        <w:pStyle w:val="0"/>
        <w:ind w:firstLine="210" w:firstLineChars="100"/>
        <w:rPr>
          <w:rFonts w:hint="default" w:asciiTheme="minorEastAsia" w:hAnsiTheme="minorEastAsia"/>
        </w:rPr>
      </w:pPr>
      <w:r>
        <w:rPr>
          <w:rFonts w:hint="eastAsia" w:asciiTheme="minorEastAsia" w:hAnsiTheme="minorEastAsia"/>
        </w:rPr>
        <w:t>阪南市長　様</w:t>
      </w:r>
    </w:p>
    <w:p>
      <w:pPr>
        <w:pStyle w:val="0"/>
        <w:ind w:right="840" w:firstLine="3150" w:firstLineChars="1500"/>
        <w:rPr>
          <w:rFonts w:hint="default" w:asciiTheme="minorEastAsia" w:hAnsiTheme="minorEastAsia"/>
        </w:rPr>
      </w:pPr>
      <w:r>
        <w:rPr>
          <w:rFonts w:hint="eastAsia" w:asciiTheme="minorEastAsia" w:hAnsiTheme="minorEastAsia"/>
        </w:rPr>
        <w:t>申請者</w:t>
      </w:r>
    </w:p>
    <w:p>
      <w:pPr>
        <w:pStyle w:val="0"/>
        <w:ind w:right="840" w:firstLine="3150" w:firstLineChars="1500"/>
        <w:rPr>
          <w:rFonts w:hint="default" w:asciiTheme="minorEastAsia" w:hAnsiTheme="minorEastAsia"/>
        </w:rPr>
      </w:pPr>
      <w:r>
        <w:rPr>
          <w:rFonts w:hint="eastAsia" w:asciiTheme="minorEastAsia" w:hAnsiTheme="minorEastAsia"/>
        </w:rPr>
        <w:t>住　所</w:t>
      </w:r>
    </w:p>
    <w:p>
      <w:pPr>
        <w:pStyle w:val="0"/>
        <w:ind w:right="840" w:firstLine="3150" w:firstLineChars="1500"/>
        <w:rPr>
          <w:rFonts w:hint="default" w:asciiTheme="minorEastAsia" w:hAnsiTheme="minorEastAsia"/>
        </w:rPr>
      </w:pPr>
      <w:r>
        <w:rPr>
          <w:rFonts w:hint="eastAsia" w:asciiTheme="minorEastAsia" w:hAnsiTheme="minorEastAsia"/>
        </w:rPr>
        <w:t>名　称</w:t>
      </w:r>
    </w:p>
    <w:p>
      <w:pPr>
        <w:pStyle w:val="0"/>
        <w:ind w:right="-63" w:firstLine="3150" w:firstLineChars="1500"/>
        <w:rPr>
          <w:rFonts w:hint="default" w:asciiTheme="minorEastAsia" w:hAnsiTheme="minorEastAsia"/>
        </w:rPr>
      </w:pPr>
      <w:r>
        <w:rPr>
          <w:rFonts w:hint="eastAsia" w:asciiTheme="minorEastAsia" w:hAnsiTheme="minorEastAsia"/>
        </w:rPr>
        <w:t>代表者　　　　　　　　　　　　　　　　　　　　印</w:t>
      </w:r>
    </w:p>
    <w:p>
      <w:pPr>
        <w:pStyle w:val="0"/>
        <w:rPr>
          <w:rFonts w:hint="default" w:asciiTheme="minorEastAsia" w:hAnsiTheme="minorEastAsia"/>
        </w:rPr>
      </w:pPr>
    </w:p>
    <w:p>
      <w:pPr>
        <w:pStyle w:val="0"/>
        <w:suppressAutoHyphens w:val="1"/>
        <w:kinsoku w:val="0"/>
        <w:wordWrap w:val="0"/>
        <w:overflowPunct w:val="0"/>
        <w:autoSpaceDE w:val="0"/>
        <w:autoSpaceDN w:val="0"/>
        <w:adjustRightInd w:val="0"/>
        <w:spacing w:line="274" w:lineRule="exact"/>
        <w:ind w:right="-143" w:rightChars="-68" w:firstLine="210" w:firstLineChars="1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私は</w:t>
      </w:r>
      <w:r>
        <w:rPr>
          <w:rFonts w:hint="eastAsia" w:asciiTheme="minorEastAsia" w:hAnsiTheme="minorEastAsia"/>
          <w:color w:val="000000"/>
          <w:kern w:val="0"/>
          <w:u w:val="single" w:color="auto"/>
        </w:rPr>
        <w:t>　　　　　　　　</w:t>
      </w:r>
      <w:r>
        <w:rPr>
          <w:rFonts w:hint="eastAsia" w:asciiTheme="minorEastAsia" w:hAnsiTheme="minorEastAsia"/>
          <w:color w:val="000000"/>
          <w:kern w:val="0"/>
        </w:rPr>
        <w:t>が、　　　　年　　月　　日から</w:t>
      </w:r>
      <w:r>
        <w:rPr>
          <w:rFonts w:hint="eastAsia" w:asciiTheme="minorEastAsia" w:hAnsiTheme="minorEastAsia"/>
          <w:color w:val="000000"/>
          <w:kern w:val="0"/>
          <w:u w:val="single" w:color="000000"/>
        </w:rPr>
        <w:t>　　</w:t>
      </w:r>
      <w:r>
        <w:rPr>
          <w:rFonts w:hint="eastAsia" w:asciiTheme="minorEastAsia" w:hAnsiTheme="minorEastAsia"/>
          <w:color w:val="000000"/>
          <w:kern w:val="0"/>
          <w:u w:val="single" w:color="000000"/>
        </w:rPr>
        <w:t xml:space="preserve"> </w:t>
      </w:r>
      <w:r>
        <w:rPr>
          <w:rFonts w:hint="eastAsia" w:asciiTheme="minorEastAsia" w:hAnsiTheme="minorEastAsia"/>
          <w:color w:val="000000"/>
          <w:kern w:val="0"/>
          <w:u w:val="single" w:color="000000"/>
        </w:rPr>
        <w:t>　　　　　　</w:t>
      </w:r>
      <w:r>
        <w:rPr>
          <w:rFonts w:hint="eastAsia" w:asciiTheme="minorEastAsia" w:hAnsiTheme="minorEastAsia"/>
          <w:color w:val="000000"/>
          <w:kern w:val="0"/>
          <w:u w:val="single"/>
        </w:rPr>
        <w:t>（注）</w:t>
      </w:r>
      <w:r>
        <w:rPr>
          <w:rFonts w:hint="eastAsia" w:asciiTheme="minorEastAsia" w:hAnsiTheme="minorEastAsia"/>
          <w:color w:val="000000"/>
          <w:kern w:val="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274" w:lineRule="exact"/>
        <w:jc w:val="center"/>
        <w:textAlignment w:val="baseline"/>
        <w:rPr>
          <w:rFonts w:hint="default" w:asciiTheme="minorEastAsia" w:hAnsiTheme="minorEastAsia"/>
          <w:color w:val="000000"/>
          <w:spacing w:val="16"/>
          <w:kern w:val="0"/>
        </w:rPr>
      </w:pPr>
      <w:r>
        <w:rPr>
          <w:rFonts w:hint="eastAsia" w:asciiTheme="minorEastAsia" w:hAnsiTheme="minorEastAsia"/>
          <w:color w:val="000000"/>
          <w:kern w:val="0"/>
        </w:rPr>
        <w:t>記</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１　事業開始年月日　　　　　　　　　　　　　</w:t>
      </w:r>
      <w:r>
        <w:rPr>
          <w:rFonts w:hint="eastAsia" w:ascii="ＭＳ 明朝" w:hAnsi="ＭＳ 明朝" w:eastAsia="ＭＳ 明朝"/>
          <w:color w:val="000000"/>
          <w:kern w:val="0"/>
          <w:u w:val="single" w:color="auto"/>
        </w:rPr>
        <w:t>　　　年　　　月　　　日</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２　　　　　　　に対する取引依存度</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％（Ａ／Ｂ）</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Ａ</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年</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月</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日から　　年　　月　　日までの　　　　　　に</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関連する取引額等</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上記期間中の全取引額等</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spacing w:line="60" w:lineRule="auto"/>
        <w:jc w:val="left"/>
        <w:textAlignment w:val="baseline"/>
        <w:rPr>
          <w:rFonts w:hint="eastAsia" w:ascii="ＭＳ 明朝" w:hAnsi="ＭＳ 明朝" w:eastAsia="ＭＳ 明朝"/>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３</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売上高等</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（イ）最近１か月間の売上高等</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減少率　　　　％（実績）</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Ｄ－Ｃ</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Ｄ</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w:t>
      </w:r>
      <w:r>
        <w:rPr>
          <w:rFonts w:hint="eastAsia" w:ascii="ＭＳ 明朝" w:hAnsi="ＭＳ 明朝" w:eastAsia="ＭＳ 明朝"/>
          <w:color w:val="000000"/>
          <w:kern w:val="0"/>
        </w:rPr>
        <w:t>100</w:t>
      </w:r>
    </w:p>
    <w:p>
      <w:pPr>
        <w:pStyle w:val="0"/>
        <w:suppressAutoHyphens w:val="1"/>
        <w:kinsoku w:val="0"/>
        <w:wordWrap w:val="0"/>
        <w:overflowPunct w:val="0"/>
        <w:autoSpaceDE w:val="0"/>
        <w:autoSpaceDN w:val="0"/>
        <w:adjustRightInd w:val="0"/>
        <w:ind w:left="182"/>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ind w:left="182"/>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Ｄ：Ｃの期間に対応する前年１か月間の売上高等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eastAsia" w:ascii="ＭＳ 明朝" w:hAnsi="ＭＳ 明朝" w:eastAsia="ＭＳ 明朝"/>
          <w:color w:val="000000"/>
          <w:kern w:val="0"/>
          <w:u w:val="single" w:color="000000"/>
        </w:rPr>
      </w:pPr>
      <w:r>
        <w:rPr>
          <w:rFonts w:hint="eastAsia" w:ascii="ＭＳ 明朝" w:hAnsi="ＭＳ 明朝" w:eastAsia="ＭＳ 明朝"/>
          <w:color w:val="000000"/>
          <w:kern w:val="0"/>
        </w:rPr>
        <w:t>（　　　年　　　月）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（ロ）（イ）の期間も含めた今後３か月間の売上高等</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減少率</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％（実績見込み）</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（Ｄ＋Ｆ）－（Ｃ＋Ｅ）</w:t>
      </w:r>
    </w:p>
    <w:p>
      <w:pPr>
        <w:pStyle w:val="0"/>
        <w:suppressAutoHyphens w:val="1"/>
        <w:kinsoku w:val="0"/>
        <w:wordWrap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Ｄ＋Ｆ</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w:t>
      </w:r>
      <w:r>
        <w:rPr>
          <w:rFonts w:hint="eastAsia" w:ascii="ＭＳ 明朝" w:hAnsi="ＭＳ 明朝" w:eastAsia="ＭＳ 明朝"/>
          <w:color w:val="000000"/>
          <w:kern w:val="0"/>
        </w:rPr>
        <w:t>100</w:t>
      </w:r>
    </w:p>
    <w:p>
      <w:pPr>
        <w:pStyle w:val="0"/>
        <w:suppressAutoHyphens w:val="1"/>
        <w:kinsoku w:val="0"/>
        <w:wordWrap w:val="0"/>
        <w:overflowPunct w:val="0"/>
        <w:autoSpaceDE w:val="0"/>
        <w:autoSpaceDN w:val="0"/>
        <w:adjustRightInd w:val="0"/>
        <w:ind w:left="182"/>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Ｅ：Ｃの期間後２か月間の見込み売上高等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年　　月）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wordWrap w:val="0"/>
        <w:overflowPunct w:val="0"/>
        <w:autoSpaceDE w:val="0"/>
        <w:autoSpaceDN w:val="0"/>
        <w:adjustRightInd w:val="0"/>
        <w:ind w:left="182"/>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Ｆ：Ｅの期間に対応する前年の２か月間の売上高等</w:t>
      </w:r>
    </w:p>
    <w:p>
      <w:pPr>
        <w:pStyle w:val="0"/>
        <w:suppressAutoHyphens w:val="1"/>
        <w:kinsoku w:val="0"/>
        <w:wordWrap w:val="0"/>
        <w:overflowPunct w:val="0"/>
        <w:autoSpaceDE w:val="0"/>
        <w:autoSpaceDN w:val="0"/>
        <w:adjustRightInd w:val="0"/>
        <w:ind w:firstLine="1260" w:firstLineChars="6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年　　月）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wordWrap w:val="0"/>
        <w:spacing w:line="246" w:lineRule="exact"/>
        <w:jc w:val="left"/>
        <w:textAlignment w:val="baseline"/>
        <w:rPr>
          <w:rFonts w:hint="eastAsia" w:ascii="ＭＳ 明朝" w:hAnsi="ＭＳ 明朝" w:eastAsia="ＭＳ 明朝"/>
        </w:rPr>
      </w:pPr>
    </w:p>
    <w:p>
      <w:pPr>
        <w:pStyle w:val="0"/>
        <w:ind w:left="17" w:leftChars="-92" w:hanging="210" w:hangingChars="100"/>
        <w:rPr>
          <w:rFonts w:hint="eastAsia" w:ascii="ＭＳ 明朝" w:hAnsi="ＭＳ 明朝" w:eastAsia="ＭＳ 明朝"/>
        </w:rPr>
      </w:pPr>
      <w:r>
        <w:rPr>
          <w:rFonts w:hint="eastAsia" w:ascii="ＭＳ 明朝" w:hAnsi="ＭＳ 明朝" w:eastAsia="ＭＳ 明朝"/>
        </w:rPr>
        <w:t>阪ま活　第　　　　号</w:t>
      </w:r>
    </w:p>
    <w:p>
      <w:pPr>
        <w:pStyle w:val="0"/>
        <w:ind w:left="17" w:leftChars="-92" w:hanging="210" w:hangingChars="100"/>
        <w:rPr>
          <w:rFonts w:hint="eastAsia" w:ascii="ＭＳ 明朝" w:hAnsi="ＭＳ 明朝" w:eastAsia="ＭＳ 明朝"/>
        </w:rPr>
      </w:pPr>
      <w:r>
        <w:rPr>
          <w:rFonts w:hint="eastAsia" w:ascii="ＭＳ 明朝" w:hAnsi="ＭＳ 明朝" w:eastAsia="ＭＳ 明朝"/>
        </w:rPr>
        <w:t>令和　　　年　　　月　　　日</w:t>
      </w:r>
    </w:p>
    <w:p>
      <w:pPr>
        <w:pStyle w:val="0"/>
        <w:ind w:left="17" w:leftChars="-92" w:hanging="210" w:hangingChars="100"/>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年　　　月　　　日から　　　　年　　　月　　　日まで</w:t>
      </w:r>
    </w:p>
    <w:p>
      <w:pPr>
        <w:pStyle w:val="0"/>
        <w:ind w:leftChars="0" w:firstLineChars="0"/>
        <w:rPr>
          <w:rFonts w:hint="eastAsia" w:ascii="ＭＳ 明朝" w:hAnsi="ＭＳ 明朝" w:eastAsia="ＭＳ 明朝"/>
        </w:rPr>
      </w:pPr>
    </w:p>
    <w:p>
      <w:pPr>
        <w:pStyle w:val="0"/>
        <w:ind w:left="17" w:leftChars="-92" w:right="735" w:hanging="210" w:hangingChars="100"/>
        <w:jc w:val="right"/>
        <w:rPr>
          <w:rFonts w:hint="default" w:asciiTheme="minorEastAsia" w:hAnsiTheme="minorEastAsia"/>
        </w:rPr>
      </w:pPr>
      <w:r>
        <w:rPr>
          <w:rFonts w:hint="eastAsia" w:ascii="ＭＳ 明朝" w:hAnsi="ＭＳ 明朝" w:eastAsia="ＭＳ 明朝"/>
        </w:rPr>
        <w:t>認定者名　大阪府阪南市長　上甲　誠</w:t>
      </w:r>
    </w:p>
    <w:p>
      <w:pPr>
        <w:pStyle w:val="0"/>
        <w:suppressAutoHyphens w:val="1"/>
        <w:wordWrap w:val="0"/>
        <w:spacing w:line="246" w:lineRule="exact"/>
        <w:jc w:val="left"/>
        <w:textAlignment w:val="baseline"/>
        <w:rPr>
          <w:rFonts w:hint="default" w:asciiTheme="minorEastAsia" w:hAnsiTheme="minorEastAsia"/>
        </w:rPr>
      </w:pPr>
    </w:p>
    <w:p>
      <w:pPr>
        <w:pStyle w:val="0"/>
        <w:suppressAutoHyphens w:val="1"/>
        <w:wordWrap w:val="0"/>
        <w:spacing w:line="246" w:lineRule="exact"/>
        <w:jc w:val="left"/>
        <w:textAlignment w:val="baseline"/>
        <w:rPr>
          <w:rFonts w:hint="default" w:asciiTheme="minorEastAsia" w:hAnsiTheme="minorEastAsia"/>
        </w:rPr>
      </w:pPr>
    </w:p>
    <w:p>
      <w:pPr>
        <w:pStyle w:val="0"/>
        <w:suppressAutoHyphens w:val="1"/>
        <w:wordWrap w:val="0"/>
        <w:spacing w:line="246" w:lineRule="exact"/>
        <w:ind w:left="206" w:leftChars="-202" w:right="-567" w:rightChars="-270" w:hanging="630" w:hangingChars="300"/>
        <w:jc w:val="left"/>
        <w:textAlignment w:val="baseline"/>
        <w:rPr>
          <w:rFonts w:hint="eastAsia" w:ascii="ＭＳ 明朝" w:hAnsi="ＭＳ 明朝" w:eastAsia="ＭＳ 明朝"/>
          <w:color w:val="000000"/>
          <w:kern w:val="0"/>
        </w:rPr>
      </w:pPr>
      <w:bookmarkStart w:id="0" w:name="_GoBack"/>
      <w:bookmarkEnd w:id="0"/>
      <w:r>
        <w:rPr>
          <w:rFonts w:hint="eastAsia" w:ascii="ＭＳ 明朝" w:hAnsi="ＭＳ 明朝" w:eastAsia="ＭＳ 明朝"/>
          <w:color w:val="000000"/>
          <w:kern w:val="0"/>
        </w:rPr>
        <w:t>（注）</w:t>
      </w:r>
      <w:r>
        <w:rPr>
          <w:rFonts w:hint="eastAsia" w:ascii="ＭＳ 明朝" w:hAnsi="ＭＳ 明朝" w:eastAsia="ＭＳ 明朝"/>
          <w:color w:val="000000"/>
          <w:kern w:val="0"/>
          <w:u w:val="single" w:color="auto"/>
        </w:rPr>
        <w:t>　　　　　　</w:t>
      </w:r>
      <w:r>
        <w:rPr>
          <w:rFonts w:hint="eastAsia" w:ascii="ＭＳ 明朝" w:hAnsi="ＭＳ 明朝" w:eastAsia="ＭＳ 明朝"/>
          <w:color w:val="000000"/>
          <w:kern w:val="0"/>
        </w:rPr>
        <w:t>には、経済産業大臣が指定する事業活動の制限の内容に応じ、「店舗の閉鎖」</w:t>
      </w:r>
    </w:p>
    <w:p>
      <w:pPr>
        <w:pStyle w:val="0"/>
        <w:suppressAutoHyphens w:val="1"/>
        <w:wordWrap w:val="0"/>
        <w:spacing w:line="246" w:lineRule="exact"/>
        <w:ind w:right="-567" w:rightChars="-27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等を入れる。</w:t>
      </w:r>
    </w:p>
    <w:p>
      <w:pPr>
        <w:pStyle w:val="0"/>
        <w:ind w:left="-391" w:leftChars="-186"/>
        <w:rPr>
          <w:rFonts w:hint="eastAsia" w:ascii="ＭＳ 明朝" w:hAnsi="ＭＳ 明朝" w:eastAsia="ＭＳ 明朝"/>
        </w:rPr>
      </w:pPr>
      <w:r>
        <w:rPr>
          <w:rFonts w:hint="eastAsia" w:ascii="ＭＳ 明朝" w:hAnsi="ＭＳ 明朝" w:eastAsia="ＭＳ 明朝"/>
        </w:rPr>
        <w:t>（留意事項）</w:t>
      </w:r>
    </w:p>
    <w:p>
      <w:pPr>
        <w:pStyle w:val="0"/>
        <w:ind w:left="-390" w:leftChars="-192" w:hanging="13" w:hangingChars="6"/>
        <w:rPr>
          <w:rFonts w:hint="eastAsia" w:ascii="ＭＳ 明朝" w:hAnsi="ＭＳ 明朝" w:eastAsia="ＭＳ 明朝"/>
        </w:rPr>
      </w:pPr>
      <w:r>
        <w:rPr>
          <w:rFonts w:hint="eastAsia" w:ascii="ＭＳ 明朝" w:hAnsi="ＭＳ 明朝" w:eastAsia="ＭＳ 明朝"/>
        </w:rPr>
        <w:t>　①　本認定とは別に、金融機関及び信用保証協会による金融上の審査があります。</w:t>
      </w:r>
    </w:p>
    <w:p>
      <w:pPr>
        <w:pStyle w:val="0"/>
        <w:ind w:left="17" w:leftChars="-92" w:hanging="210" w:hangingChars="100"/>
        <w:rPr>
          <w:rFonts w:hint="eastAsia" w:ascii="ＭＳ 明朝" w:hAnsi="ＭＳ 明朝" w:eastAsia="ＭＳ 明朝"/>
        </w:rPr>
      </w:pPr>
      <w:r>
        <w:rPr>
          <w:rFonts w:hint="eastAsia" w:ascii="ＭＳ 明朝" w:hAnsi="ＭＳ 明朝" w:eastAsia="ＭＳ 明朝"/>
        </w:rPr>
        <w:t>②　市町村長又は特別区長から認定を受けた日から３０日以内に金融機関又は信用保証協会に対して、保証の申込みを行うことが必要です。</w:t>
      </w:r>
    </w:p>
    <w:sectPr>
      <w:pgSz w:w="11906" w:h="16838"/>
      <w:pgMar w:top="567" w:right="1701" w:bottom="851"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2</Pages>
  <Words>4</Words>
  <Characters>1061</Characters>
  <Application>JUST Note</Application>
  <Lines>116</Lines>
  <Paragraphs>82</Paragraphs>
  <Company>熊本市</Company>
  <CharactersWithSpaces>2560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熊本市職員</dc:creator>
  <cp:lastModifiedBy>Administrator</cp:lastModifiedBy>
  <cp:lastPrinted>2023-12-09T00:12:00Z</cp:lastPrinted>
  <dcterms:created xsi:type="dcterms:W3CDTF">2023-12-09T00:00:00Z</dcterms:created>
  <dcterms:modified xsi:type="dcterms:W3CDTF">2024-12-20T06:22:24Z</dcterms:modified>
  <cp:revision>11</cp:revision>
</cp:coreProperties>
</file>