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embeddings/Microsoft_Excel_Worksheet1.xlsx" ContentType="application/vnd.openxmlformats-officedocument.spreadsheetml.sheet"/>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embeddings/Microsoft_Excel_Worksheet2.xlsx" ContentType="application/vnd.openxmlformats-officedocument.spreadsheetml.sheet"/>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embeddings/Microsoft_Excel_Worksheet3.xlsx" ContentType="application/vnd.openxmlformats-officedocument.spreadsheetml.sheet"/>
  <Override PartName="/word/charts/colors3.xml" ContentType="application/vnd.ms-office.chartcolorstyle+xml"/>
  <Override PartName="/word/charts/style3.xml" ContentType="application/vnd.ms-office.chartstyle+xml"/>
  <Override PartName="/word/charts/chart4.xml" ContentType="application/vnd.openxmlformats-officedocument.drawingml.chart+xml"/>
  <Override PartName="/word/embeddings/Microsoft_Excel_Worksheet4.xlsx" ContentType="application/vnd.openxmlformats-officedocument.spreadsheetml.sheet"/>
  <Override PartName="/word/charts/colors4.xml" ContentType="application/vnd.ms-office.chartcolorstyle+xml"/>
  <Override PartName="/word/charts/style4.xml" ContentType="application/vnd.ms-office.chartstyle+xml"/>
  <Override PartName="/word/charts/chart5.xml" ContentType="application/vnd.openxmlformats-officedocument.drawingml.chart+xml"/>
  <Override PartName="/word/embeddings/Microsoft_Excel_Worksheet5.xlsx" ContentType="application/vnd.openxmlformats-officedocument.spreadsheetml.sheet"/>
  <Override PartName="/word/charts/colors5.xml" ContentType="application/vnd.ms-office.chartcolorstyle+xml"/>
  <Override PartName="/word/charts/style5.xml" ContentType="application/vnd.ms-office.chartstyle+xml"/>
  <Override PartName="/word/charts/chart6.xml" ContentType="application/vnd.openxmlformats-officedocument.drawingml.chart+xml"/>
  <Override PartName="/word/embeddings/Microsoft_Excel_Worksheet6.xlsx" ContentType="application/vnd.openxmlformats-officedocument.spreadsheetml.sheet"/>
  <Override PartName="/word/charts/colors6.xml" ContentType="application/vnd.ms-office.chartcolorstyle+xml"/>
  <Override PartName="/word/charts/style6.xml" ContentType="application/vnd.ms-office.chartstyle+xml"/>
  <Override PartName="/word/charts/chart7.xml" ContentType="application/vnd.openxmlformats-officedocument.drawingml.chart+xml"/>
  <Override PartName="/word/embeddings/Microsoft_Excel_Worksheet7.xlsx" ContentType="application/vnd.openxmlformats-officedocument.spreadsheetml.sheet"/>
  <Override PartName="/word/charts/colors7.xml" ContentType="application/vnd.ms-office.chartcolorstyle+xml"/>
  <Override PartName="/word/charts/style7.xml" ContentType="application/vnd.ms-office.chartstyle+xml"/>
  <Override PartName="/word/embeddings/oleObject1.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sz w:val="21"/>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ascii="ＭＳ Ｐゴシック" w:hAnsi="ＭＳ Ｐゴシック" w:eastAsia="ＭＳ Ｐゴシック"/>
          <w:sz w:val="48"/>
        </w:rPr>
      </w:pPr>
      <w:r>
        <w:rPr>
          <w:rFonts w:hint="eastAsia" w:ascii="ＭＳ Ｐゴシック" w:hAnsi="ＭＳ Ｐゴシック" w:eastAsia="ＭＳ Ｐゴシック"/>
          <w:sz w:val="48"/>
        </w:rPr>
        <w:t>阪南市学校施設長寿命化個別計画</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ascii="ＭＳ Ｐゴシック" w:hAnsi="ＭＳ Ｐゴシック" w:eastAsia="ＭＳ Ｐゴシック"/>
          <w:sz w:val="40"/>
        </w:rPr>
      </w:pPr>
      <w:r>
        <w:rPr>
          <w:rFonts w:hint="eastAsia" w:ascii="ＭＳ Ｐゴシック" w:hAnsi="ＭＳ Ｐゴシック" w:eastAsia="ＭＳ Ｐゴシック"/>
          <w:sz w:val="40"/>
        </w:rPr>
        <w:t>令和３</w:t>
      </w:r>
      <w:r>
        <w:rPr>
          <w:rFonts w:hint="eastAsia" w:ascii="ＭＳ Ｐゴシック" w:hAnsi="ＭＳ Ｐゴシック" w:eastAsia="ＭＳ Ｐゴシック"/>
          <w:color w:val="000000" w:themeColor="text1"/>
          <w:sz w:val="40"/>
        </w:rPr>
        <w:t>年（</w:t>
      </w:r>
      <w:r>
        <w:rPr>
          <w:rFonts w:hint="eastAsia" w:ascii="ＭＳ Ｐゴシック" w:hAnsi="ＭＳ Ｐゴシック" w:eastAsia="ＭＳ Ｐゴシック"/>
          <w:color w:val="000000" w:themeColor="text1"/>
          <w:sz w:val="40"/>
        </w:rPr>
        <w:t>2021</w:t>
      </w:r>
      <w:r>
        <w:rPr>
          <w:rFonts w:hint="eastAsia" w:ascii="ＭＳ Ｐゴシック" w:hAnsi="ＭＳ Ｐゴシック" w:eastAsia="ＭＳ Ｐゴシック"/>
          <w:color w:val="000000" w:themeColor="text1"/>
          <w:sz w:val="40"/>
        </w:rPr>
        <w:t>年）３</w:t>
      </w:r>
      <w:r>
        <w:rPr>
          <w:rFonts w:hint="eastAsia" w:ascii="ＭＳ Ｐゴシック" w:hAnsi="ＭＳ Ｐゴシック" w:eastAsia="ＭＳ Ｐゴシック"/>
          <w:sz w:val="40"/>
        </w:rPr>
        <w:t>月</w:t>
      </w: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rPr>
      </w:pPr>
    </w:p>
    <w:p>
      <w:pPr>
        <w:pStyle w:val="0"/>
        <w:jc w:val="center"/>
        <w:rPr>
          <w:rFonts w:hint="default" w:ascii="ＭＳ Ｐゴシック" w:hAnsi="ＭＳ Ｐゴシック" w:eastAsia="ＭＳ Ｐゴシック"/>
          <w:sz w:val="40"/>
        </w:rPr>
      </w:pPr>
      <w:r>
        <w:rPr>
          <w:rFonts w:hint="eastAsia" w:ascii="ＭＳ Ｐゴシック" w:hAnsi="ＭＳ Ｐゴシック" w:eastAsia="ＭＳ Ｐゴシック"/>
          <w:spacing w:val="300"/>
          <w:kern w:val="0"/>
          <w:sz w:val="40"/>
          <w:fitText w:val="2400" w:id="1"/>
        </w:rPr>
        <w:t>阪南</w:t>
      </w:r>
      <w:r>
        <w:rPr>
          <w:rFonts w:hint="eastAsia" w:ascii="ＭＳ Ｐゴシック" w:hAnsi="ＭＳ Ｐゴシック" w:eastAsia="ＭＳ Ｐゴシック"/>
          <w:kern w:val="0"/>
          <w:sz w:val="40"/>
          <w:fitText w:val="2400" w:id="1"/>
        </w:rPr>
        <w:t>市</w:t>
      </w:r>
    </w:p>
    <w:p>
      <w:pPr>
        <w:pStyle w:val="0"/>
        <w:jc w:val="center"/>
        <w:rPr>
          <w:rFonts w:hint="default" w:ascii="ＭＳ Ｐゴシック" w:hAnsi="ＭＳ Ｐゴシック" w:eastAsia="ＭＳ Ｐゴシック"/>
          <w:sz w:val="40"/>
        </w:rPr>
      </w:pPr>
    </w:p>
    <w:p>
      <w:pPr>
        <w:pStyle w:val="0"/>
        <w:widowControl w:val="1"/>
        <w:jc w:val="center"/>
        <w:rPr>
          <w:rFonts w:hint="default"/>
        </w:rPr>
      </w:pPr>
      <w:r>
        <w:rPr>
          <w:rFonts w:hint="default"/>
        </w:rPr>
        <w:br w:type="page"/>
      </w:r>
    </w:p>
    <w:p>
      <w:pPr>
        <w:pStyle w:val="0"/>
        <w:widowControl w:val="1"/>
        <w:jc w:val="left"/>
        <w:rPr>
          <w:rFonts w:hint="default"/>
        </w:rPr>
      </w:pPr>
    </w:p>
    <w:p>
      <w:pPr>
        <w:pStyle w:val="0"/>
        <w:rPr>
          <w:rFonts w:hint="default"/>
        </w:rPr>
      </w:pPr>
    </w:p>
    <w:p>
      <w:pPr>
        <w:pStyle w:val="0"/>
        <w:jc w:val="center"/>
        <w:rPr>
          <w:rFonts w:hint="default"/>
          <w:sz w:val="32"/>
        </w:rPr>
      </w:pPr>
      <w:r>
        <w:rPr>
          <w:rFonts w:hint="eastAsia"/>
          <w:sz w:val="32"/>
        </w:rPr>
        <w:t>目　　次</w:t>
      </w:r>
    </w:p>
    <w:p>
      <w:pPr>
        <w:pStyle w:val="30"/>
        <w:tabs>
          <w:tab w:val="right" w:leader="dot" w:pos="9060"/>
        </w:tabs>
        <w:rPr>
          <w:rFonts w:hint="default" w:asciiTheme="minorHAnsi" w:hAnsiTheme="minorHAnsi" w:eastAsiaTheme="minorEastAsia"/>
          <w:sz w:val="21"/>
        </w:rPr>
      </w:pPr>
      <w:r>
        <w:rPr>
          <w:rFonts w:hint="default"/>
        </w:rPr>
        <w:fldChar w:fldCharType="begin"/>
      </w:r>
      <w:r>
        <w:rPr>
          <w:rFonts w:hint="default"/>
        </w:rPr>
        <w:instrText xml:space="preserve"> TOC \o "1-2" \h \z \u </w:instrText>
      </w:r>
      <w:r>
        <w:rPr>
          <w:rFonts w:hint="default"/>
        </w:rPr>
        <w:fldChar w:fldCharType="separate"/>
      </w:r>
      <w:r>
        <w:rPr>
          <w:rFonts w:hint="eastAsia"/>
        </w:rPr>
        <w:fldChar w:fldCharType="begin"/>
      </w:r>
      <w:r>
        <w:rPr>
          <w:rFonts w:hint="eastAsia"/>
        </w:rPr>
        <w:instrText xml:space="preserve"> HYPERLINK  \l "_Toc73347179"</w:instrText>
      </w:r>
      <w:r>
        <w:rPr>
          <w:rFonts w:hint="eastAsia"/>
        </w:rPr>
        <w:fldChar w:fldCharType="separate"/>
      </w:r>
      <w:r>
        <w:rPr>
          <w:rFonts w:hint="default"/>
        </w:rPr>
        <w:t>第１章</w:t>
      </w:r>
      <w:r>
        <w:rPr>
          <w:rFonts w:hint="default"/>
        </w:rPr>
        <w:t xml:space="preserve"> </w:t>
      </w:r>
      <w:r>
        <w:rPr>
          <w:rFonts w:hint="default"/>
        </w:rPr>
        <w:t>学校施設の長寿命化計画の背景・目的等</w:t>
      </w:r>
      <w:r>
        <w:rPr>
          <w:rFonts w:hint="default"/>
        </w:rPr>
        <w:tab/>
      </w:r>
      <w:r>
        <w:rPr>
          <w:rFonts w:hint="eastAsia"/>
        </w:rPr>
        <w:fldChar w:fldCharType="end"/>
      </w:r>
      <w:r>
        <w:rPr>
          <w:rFonts w:hint="eastAsia"/>
        </w:rPr>
        <w:fldChar w:fldCharType="begin"/>
      </w:r>
      <w:r>
        <w:rPr>
          <w:rFonts w:hint="default"/>
        </w:rPr>
        <w:instrText xml:space="preserve"> PAGEREF _Toc73347179 \h </w:instrText>
      </w:r>
      <w:r>
        <w:rPr>
          <w:rFonts w:hint="eastAsia"/>
        </w:rPr>
        <w:fldChar w:fldCharType="separate"/>
      </w:r>
      <w:r>
        <w:rPr>
          <w:rFonts w:hint="eastAsia"/>
        </w:rPr>
        <w:fldChar w:fldCharType="begin"/>
      </w:r>
      <w:r>
        <w:rPr>
          <w:rFonts w:hint="eastAsia"/>
        </w:rPr>
        <w:instrText xml:space="preserve"> HYPERLINK  \l "_Toc73347179"</w:instrText>
      </w:r>
      <w:r>
        <w:rPr>
          <w:rFonts w:hint="eastAsia"/>
        </w:rPr>
        <w:fldChar w:fldCharType="separate"/>
      </w:r>
      <w:r>
        <w:rPr>
          <w:rFonts w:hint="default"/>
        </w:rPr>
        <w:t>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"_Toc73347180"</w:instrText>
      </w:r>
      <w:r>
        <w:rPr>
          <w:rFonts w:hint="eastAsia"/>
        </w:rPr>
        <w:fldChar w:fldCharType="separate"/>
      </w:r>
      <w:r>
        <w:rPr>
          <w:rFonts w:hint="default"/>
        </w:rPr>
        <w:t>１</w:t>
      </w:r>
      <w:r>
        <w:rPr>
          <w:rFonts w:hint="default"/>
        </w:rPr>
        <w:t xml:space="preserve"> </w:t>
      </w:r>
      <w:r>
        <w:rPr>
          <w:rFonts w:hint="default"/>
        </w:rPr>
        <w:t>背景</w:t>
      </w:r>
      <w:r>
        <w:rPr>
          <w:rFonts w:hint="default"/>
        </w:rPr>
        <w:tab/>
      </w:r>
      <w:r>
        <w:rPr>
          <w:rFonts w:hint="eastAsia"/>
        </w:rPr>
        <w:fldChar w:fldCharType="end"/>
      </w:r>
      <w:r>
        <w:rPr>
          <w:rFonts w:hint="eastAsia"/>
        </w:rPr>
        <w:fldChar w:fldCharType="begin"/>
      </w:r>
      <w:r>
        <w:rPr>
          <w:rFonts w:hint="default"/>
        </w:rPr>
        <w:instrText xml:space="preserve"> PAGEREF _Toc73347180 \h </w:instrText>
      </w:r>
      <w:r>
        <w:rPr>
          <w:rFonts w:hint="eastAsia"/>
        </w:rPr>
        <w:fldChar w:fldCharType="separate"/>
      </w:r>
      <w:r>
        <w:rPr>
          <w:rFonts w:hint="eastAsia"/>
        </w:rPr>
        <w:fldChar w:fldCharType="begin"/>
      </w:r>
      <w:r>
        <w:rPr>
          <w:rFonts w:hint="eastAsia"/>
        </w:rPr>
        <w:instrText xml:space="preserve"> HYPERLINK  \l "_Toc73347180"</w:instrText>
      </w:r>
      <w:r>
        <w:rPr>
          <w:rFonts w:hint="eastAsia"/>
        </w:rPr>
        <w:fldChar w:fldCharType="separate"/>
      </w:r>
      <w:r>
        <w:rPr>
          <w:rFonts w:hint="default"/>
        </w:rPr>
        <w:t>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"_Toc73347181"</w:instrText>
      </w:r>
      <w:r>
        <w:rPr>
          <w:rFonts w:hint="eastAsia"/>
        </w:rPr>
        <w:fldChar w:fldCharType="separate"/>
      </w:r>
      <w:r>
        <w:rPr>
          <w:rFonts w:hint="default"/>
        </w:rPr>
        <w:t>２</w:t>
      </w:r>
      <w:r>
        <w:rPr>
          <w:rFonts w:hint="default"/>
        </w:rPr>
        <w:t xml:space="preserve"> </w:t>
      </w:r>
      <w:r>
        <w:rPr>
          <w:rFonts w:hint="default"/>
        </w:rPr>
        <w:t>目的</w:t>
      </w:r>
      <w:r>
        <w:rPr>
          <w:rFonts w:hint="default"/>
        </w:rPr>
        <w:tab/>
      </w:r>
      <w:r>
        <w:rPr>
          <w:rFonts w:hint="eastAsia"/>
        </w:rPr>
        <w:fldChar w:fldCharType="end"/>
      </w:r>
      <w:r>
        <w:rPr>
          <w:rFonts w:hint="eastAsia"/>
        </w:rPr>
        <w:fldChar w:fldCharType="begin"/>
      </w:r>
      <w:r>
        <w:rPr>
          <w:rFonts w:hint="default"/>
        </w:rPr>
        <w:instrText xml:space="preserve"> PAGEREF _Toc73347181 \h </w:instrText>
      </w:r>
      <w:r>
        <w:rPr>
          <w:rFonts w:hint="eastAsia"/>
        </w:rPr>
        <w:fldChar w:fldCharType="separate"/>
      </w:r>
      <w:r>
        <w:rPr>
          <w:rFonts w:hint="eastAsia"/>
        </w:rPr>
        <w:fldChar w:fldCharType="begin"/>
      </w:r>
      <w:r>
        <w:rPr>
          <w:rFonts w:hint="eastAsia"/>
        </w:rPr>
        <w:instrText xml:space="preserve"> HYPERLINK  \l "_Toc73347181"</w:instrText>
      </w:r>
      <w:r>
        <w:rPr>
          <w:rFonts w:hint="eastAsia"/>
        </w:rPr>
        <w:fldChar w:fldCharType="separate"/>
      </w:r>
      <w:r>
        <w:rPr>
          <w:rFonts w:hint="default"/>
        </w:rPr>
        <w:t>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"_Toc73347182"</w:instrText>
      </w:r>
      <w:r>
        <w:rPr>
          <w:rFonts w:hint="eastAsia"/>
        </w:rPr>
        <w:fldChar w:fldCharType="separate"/>
      </w:r>
      <w:r>
        <w:rPr>
          <w:rFonts w:hint="default"/>
        </w:rPr>
        <w:t>３</w:t>
      </w:r>
      <w:r>
        <w:rPr>
          <w:rFonts w:hint="default"/>
        </w:rPr>
        <w:t xml:space="preserve"> </w:t>
      </w:r>
      <w:r>
        <w:rPr>
          <w:rFonts w:hint="default"/>
        </w:rPr>
        <w:t>計画期間</w:t>
      </w:r>
      <w:r>
        <w:rPr>
          <w:rFonts w:hint="default"/>
        </w:rPr>
        <w:tab/>
      </w:r>
      <w:r>
        <w:rPr>
          <w:rFonts w:hint="eastAsia"/>
        </w:rPr>
        <w:fldChar w:fldCharType="end"/>
      </w:r>
      <w:r>
        <w:rPr>
          <w:rFonts w:hint="eastAsia"/>
        </w:rPr>
        <w:fldChar w:fldCharType="begin"/>
      </w:r>
      <w:r>
        <w:rPr>
          <w:rFonts w:hint="default"/>
        </w:rPr>
        <w:instrText xml:space="preserve"> PAGEREF _Toc73347182 \h </w:instrText>
      </w:r>
      <w:r>
        <w:rPr>
          <w:rFonts w:hint="eastAsia"/>
        </w:rPr>
        <w:fldChar w:fldCharType="separate"/>
      </w:r>
      <w:r>
        <w:rPr>
          <w:rFonts w:hint="eastAsia"/>
        </w:rPr>
        <w:fldChar w:fldCharType="begin"/>
      </w:r>
      <w:r>
        <w:rPr>
          <w:rFonts w:hint="eastAsia"/>
        </w:rPr>
        <w:instrText xml:space="preserve"> HYPERLINK  \l "_Toc73347182"</w:instrText>
      </w:r>
      <w:r>
        <w:rPr>
          <w:rFonts w:hint="eastAsia"/>
        </w:rPr>
        <w:fldChar w:fldCharType="separate"/>
      </w:r>
      <w:r>
        <w:rPr>
          <w:rFonts w:hint="default"/>
        </w:rPr>
        <w:t>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"_Toc73347183"</w:instrText>
      </w:r>
      <w:r>
        <w:rPr>
          <w:rFonts w:hint="eastAsia"/>
        </w:rPr>
        <w:fldChar w:fldCharType="separate"/>
      </w:r>
      <w:r>
        <w:rPr>
          <w:rFonts w:hint="default"/>
        </w:rPr>
        <w:t>４</w:t>
      </w:r>
      <w:r>
        <w:rPr>
          <w:rFonts w:hint="default"/>
        </w:rPr>
        <w:t xml:space="preserve"> </w:t>
      </w:r>
      <w:r>
        <w:rPr>
          <w:rFonts w:hint="default"/>
        </w:rPr>
        <w:t>対象施設</w:t>
      </w:r>
      <w:r>
        <w:rPr>
          <w:rFonts w:hint="default"/>
        </w:rPr>
        <w:tab/>
      </w:r>
      <w:r>
        <w:rPr>
          <w:rFonts w:hint="eastAsia"/>
        </w:rPr>
        <w:fldChar w:fldCharType="end"/>
      </w:r>
      <w:r>
        <w:rPr>
          <w:rFonts w:hint="eastAsia"/>
        </w:rPr>
        <w:fldChar w:fldCharType="begin"/>
      </w:r>
      <w:r>
        <w:rPr>
          <w:rFonts w:hint="default"/>
        </w:rPr>
        <w:instrText xml:space="preserve"> PAGEREF _Toc73347183 \h </w:instrText>
      </w:r>
      <w:r>
        <w:rPr>
          <w:rFonts w:hint="eastAsia"/>
        </w:rPr>
        <w:fldChar w:fldCharType="separate"/>
      </w:r>
      <w:r>
        <w:rPr>
          <w:rFonts w:hint="eastAsia"/>
        </w:rPr>
        <w:fldChar w:fldCharType="begin"/>
      </w:r>
      <w:r>
        <w:rPr>
          <w:rFonts w:hint="eastAsia"/>
        </w:rPr>
        <w:instrText xml:space="preserve"> HYPERLINK  \l "_Toc73347183"</w:instrText>
      </w:r>
      <w:r>
        <w:rPr>
          <w:rFonts w:hint="eastAsia"/>
        </w:rPr>
        <w:fldChar w:fldCharType="separate"/>
      </w:r>
      <w:r>
        <w:rPr>
          <w:rFonts w:hint="default"/>
        </w:rPr>
        <w:t>2</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"_Toc73347184"</w:instrText>
      </w:r>
      <w:r>
        <w:rPr>
          <w:rFonts w:hint="eastAsia"/>
        </w:rPr>
        <w:fldChar w:fldCharType="separate"/>
      </w:r>
      <w:r>
        <w:rPr>
          <w:rFonts w:hint="default"/>
        </w:rPr>
        <w:t>第２章</w:t>
      </w:r>
      <w:r>
        <w:rPr>
          <w:rFonts w:hint="default"/>
        </w:rPr>
        <w:t xml:space="preserve"> </w:t>
      </w:r>
      <w:r>
        <w:rPr>
          <w:rFonts w:hint="default"/>
        </w:rPr>
        <w:t>学校施設の目指すべき姿</w:t>
      </w:r>
      <w:r>
        <w:rPr>
          <w:rFonts w:hint="default"/>
        </w:rPr>
        <w:tab/>
      </w:r>
      <w:r>
        <w:rPr>
          <w:rFonts w:hint="eastAsia"/>
        </w:rPr>
        <w:fldChar w:fldCharType="end"/>
      </w:r>
      <w:r>
        <w:rPr>
          <w:rFonts w:hint="eastAsia"/>
        </w:rPr>
        <w:fldChar w:fldCharType="begin"/>
      </w:r>
      <w:r>
        <w:rPr>
          <w:rFonts w:hint="default"/>
        </w:rPr>
        <w:instrText xml:space="preserve"> PAGEREF _Toc73347184 \h </w:instrText>
      </w:r>
      <w:r>
        <w:rPr>
          <w:rFonts w:hint="eastAsia"/>
        </w:rPr>
        <w:fldChar w:fldCharType="separate"/>
      </w:r>
      <w:r>
        <w:rPr>
          <w:rFonts w:hint="eastAsia"/>
        </w:rPr>
        <w:fldChar w:fldCharType="begin"/>
      </w:r>
      <w:r>
        <w:rPr>
          <w:rFonts w:hint="eastAsia"/>
        </w:rPr>
        <w:instrText xml:space="preserve"> HYPERLINK  \l "_Toc73347184"</w:instrText>
      </w:r>
      <w:r>
        <w:rPr>
          <w:rFonts w:hint="eastAsia"/>
        </w:rPr>
        <w:fldChar w:fldCharType="separate"/>
      </w:r>
      <w:r>
        <w:rPr>
          <w:rFonts w:hint="default"/>
        </w:rPr>
        <w:t>11</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"_Toc73347185"</w:instrText>
      </w:r>
      <w:r>
        <w:rPr>
          <w:rFonts w:hint="eastAsia"/>
        </w:rPr>
        <w:fldChar w:fldCharType="separate"/>
      </w:r>
      <w:r>
        <w:rPr>
          <w:rFonts w:hint="default"/>
        </w:rPr>
        <w:t>第３章</w:t>
      </w:r>
      <w:r>
        <w:rPr>
          <w:rFonts w:hint="default"/>
        </w:rPr>
        <w:t xml:space="preserve"> </w:t>
      </w:r>
      <w:r>
        <w:rPr>
          <w:rFonts w:hint="default"/>
        </w:rPr>
        <w:t>学校施設の実態</w:t>
      </w:r>
      <w:r>
        <w:rPr>
          <w:rFonts w:hint="default"/>
        </w:rPr>
        <w:tab/>
      </w:r>
      <w:r>
        <w:rPr>
          <w:rFonts w:hint="eastAsia"/>
        </w:rPr>
        <w:fldChar w:fldCharType="end"/>
      </w:r>
      <w:r>
        <w:rPr>
          <w:rFonts w:hint="eastAsia"/>
        </w:rPr>
        <w:fldChar w:fldCharType="begin"/>
      </w:r>
      <w:r>
        <w:rPr>
          <w:rFonts w:hint="default"/>
        </w:rPr>
        <w:instrText xml:space="preserve"> PAGEREF _Toc73347185 \h </w:instrText>
      </w:r>
      <w:r>
        <w:rPr>
          <w:rFonts w:hint="eastAsia"/>
        </w:rPr>
        <w:fldChar w:fldCharType="separate"/>
      </w:r>
      <w:r>
        <w:rPr>
          <w:rFonts w:hint="eastAsia"/>
        </w:rPr>
        <w:fldChar w:fldCharType="begin"/>
      </w:r>
      <w:r>
        <w:rPr>
          <w:rFonts w:hint="eastAsia"/>
        </w:rPr>
        <w:instrText xml:space="preserve"> HYPERLINK  \l "_Toc73347185"</w:instrText>
      </w:r>
      <w:r>
        <w:rPr>
          <w:rFonts w:hint="eastAsia"/>
        </w:rPr>
        <w:fldChar w:fldCharType="separate"/>
      </w:r>
      <w:r>
        <w:rPr>
          <w:rFonts w:hint="default"/>
        </w:rPr>
        <w:t>14</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"_Toc73347186"</w:instrText>
      </w:r>
      <w:r>
        <w:rPr>
          <w:rFonts w:hint="eastAsia"/>
        </w:rPr>
        <w:fldChar w:fldCharType="separate"/>
      </w:r>
      <w:r>
        <w:rPr>
          <w:rFonts w:hint="default"/>
        </w:rPr>
        <w:t>１</w:t>
      </w:r>
      <w:r>
        <w:rPr>
          <w:rFonts w:hint="default"/>
        </w:rPr>
        <w:t xml:space="preserve"> </w:t>
      </w:r>
      <w:r>
        <w:rPr>
          <w:rFonts w:hint="default"/>
        </w:rPr>
        <w:t>学校施設の運営状況・活用状況等の実態</w:t>
      </w:r>
      <w:r>
        <w:rPr>
          <w:rFonts w:hint="default"/>
        </w:rPr>
        <w:tab/>
      </w:r>
      <w:r>
        <w:rPr>
          <w:rFonts w:hint="eastAsia"/>
        </w:rPr>
        <w:fldChar w:fldCharType="end"/>
      </w:r>
      <w:r>
        <w:rPr>
          <w:rFonts w:hint="eastAsia"/>
        </w:rPr>
        <w:fldChar w:fldCharType="begin"/>
      </w:r>
      <w:r>
        <w:rPr>
          <w:rFonts w:hint="default"/>
        </w:rPr>
        <w:instrText xml:space="preserve"> PAGEREF _Toc73347186 \h </w:instrText>
      </w:r>
      <w:r>
        <w:rPr>
          <w:rFonts w:hint="eastAsia"/>
        </w:rPr>
        <w:fldChar w:fldCharType="separate"/>
      </w:r>
      <w:r>
        <w:rPr>
          <w:rFonts w:hint="eastAsia"/>
        </w:rPr>
        <w:fldChar w:fldCharType="begin"/>
      </w:r>
      <w:r>
        <w:rPr>
          <w:rFonts w:hint="eastAsia"/>
        </w:rPr>
        <w:instrText xml:space="preserve"> HYPERLINK  \l "_Toc73347186"</w:instrText>
      </w:r>
      <w:r>
        <w:rPr>
          <w:rFonts w:hint="eastAsia"/>
        </w:rPr>
        <w:fldChar w:fldCharType="separate"/>
      </w:r>
      <w:r>
        <w:rPr>
          <w:rFonts w:hint="default"/>
        </w:rPr>
        <w:t>14</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"_Toc73347187"</w:instrText>
      </w:r>
      <w:r>
        <w:rPr>
          <w:rFonts w:hint="eastAsia"/>
        </w:rPr>
        <w:fldChar w:fldCharType="separate"/>
      </w:r>
      <w:r>
        <w:rPr>
          <w:rFonts w:hint="default"/>
        </w:rPr>
        <w:t>２</w:t>
      </w:r>
      <w:r>
        <w:rPr>
          <w:rFonts w:hint="default"/>
        </w:rPr>
        <w:t xml:space="preserve"> </w:t>
      </w:r>
      <w:r>
        <w:rPr>
          <w:rFonts w:hint="default"/>
        </w:rPr>
        <w:t>学校施設の老朽化状況の実態</w:t>
      </w:r>
      <w:r>
        <w:rPr>
          <w:rFonts w:hint="default"/>
        </w:rPr>
        <w:tab/>
      </w:r>
      <w:r>
        <w:rPr>
          <w:rFonts w:hint="eastAsia"/>
        </w:rPr>
        <w:fldChar w:fldCharType="end"/>
      </w:r>
      <w:r>
        <w:rPr>
          <w:rFonts w:hint="eastAsia"/>
        </w:rPr>
        <w:fldChar w:fldCharType="begin"/>
      </w:r>
      <w:r>
        <w:rPr>
          <w:rFonts w:hint="default"/>
        </w:rPr>
        <w:instrText xml:space="preserve"> PAGEREF _Toc73347187 \h </w:instrText>
      </w:r>
      <w:r>
        <w:rPr>
          <w:rFonts w:hint="eastAsia"/>
        </w:rPr>
        <w:fldChar w:fldCharType="separate"/>
      </w:r>
      <w:r>
        <w:rPr>
          <w:rFonts w:hint="eastAsia"/>
        </w:rPr>
        <w:fldChar w:fldCharType="begin"/>
      </w:r>
      <w:r>
        <w:rPr>
          <w:rFonts w:hint="eastAsia"/>
        </w:rPr>
        <w:instrText xml:space="preserve"> HYPERLINK  \l "_Toc73347187"</w:instrText>
      </w:r>
      <w:r>
        <w:rPr>
          <w:rFonts w:hint="eastAsia"/>
        </w:rPr>
        <w:fldChar w:fldCharType="separate"/>
      </w:r>
      <w:r>
        <w:rPr>
          <w:rFonts w:hint="default"/>
        </w:rPr>
        <w:t>22</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"_Toc73347188"</w:instrText>
      </w:r>
      <w:r>
        <w:rPr>
          <w:rFonts w:hint="eastAsia"/>
        </w:rPr>
        <w:fldChar w:fldCharType="separate"/>
      </w:r>
      <w:r>
        <w:rPr>
          <w:rFonts w:hint="default"/>
        </w:rPr>
        <w:t>第４章</w:t>
      </w:r>
      <w:r>
        <w:rPr>
          <w:rFonts w:hint="default"/>
        </w:rPr>
        <w:t xml:space="preserve"> </w:t>
      </w:r>
      <w:r>
        <w:rPr>
          <w:rFonts w:hint="default"/>
        </w:rPr>
        <w:t>学校施設整備の基本的な方針等</w:t>
      </w:r>
      <w:r>
        <w:rPr>
          <w:rFonts w:hint="default"/>
        </w:rPr>
        <w:tab/>
      </w:r>
      <w:r>
        <w:rPr>
          <w:rFonts w:hint="eastAsia"/>
        </w:rPr>
        <w:fldChar w:fldCharType="end"/>
      </w:r>
      <w:r>
        <w:rPr>
          <w:rFonts w:hint="eastAsia"/>
        </w:rPr>
        <w:fldChar w:fldCharType="begin"/>
      </w:r>
      <w:r>
        <w:rPr>
          <w:rFonts w:hint="default"/>
        </w:rPr>
        <w:instrText xml:space="preserve"> PAGEREF _Toc73347188 \h </w:instrText>
      </w:r>
      <w:r>
        <w:rPr>
          <w:rFonts w:hint="eastAsia"/>
        </w:rPr>
        <w:fldChar w:fldCharType="separate"/>
      </w:r>
      <w:r>
        <w:rPr>
          <w:rFonts w:hint="eastAsia"/>
        </w:rPr>
        <w:fldChar w:fldCharType="begin"/>
      </w:r>
      <w:r>
        <w:rPr>
          <w:rFonts w:hint="eastAsia"/>
        </w:rPr>
        <w:instrText xml:space="preserve"> HYPERLINK  \l "_Toc73347188"</w:instrText>
      </w:r>
      <w:r>
        <w:rPr>
          <w:rFonts w:hint="eastAsia"/>
        </w:rPr>
        <w:fldChar w:fldCharType="separate"/>
      </w:r>
      <w:r>
        <w:rPr>
          <w:rFonts w:hint="default"/>
        </w:rPr>
        <w:t>31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"_Toc73347189"</w:instrText>
      </w:r>
      <w:r>
        <w:rPr>
          <w:rFonts w:hint="eastAsia"/>
        </w:rPr>
        <w:fldChar w:fldCharType="separate"/>
      </w:r>
      <w:r>
        <w:rPr>
          <w:rFonts w:hint="default"/>
        </w:rPr>
        <w:t>１</w:t>
      </w:r>
      <w:r>
        <w:rPr>
          <w:rFonts w:hint="default"/>
        </w:rPr>
        <w:t xml:space="preserve"> </w:t>
      </w:r>
      <w:r>
        <w:rPr>
          <w:rFonts w:hint="default"/>
        </w:rPr>
        <w:t>学校施設の規模・配置計画等の方針</w:t>
      </w:r>
      <w:r>
        <w:rPr>
          <w:rFonts w:hint="default"/>
        </w:rPr>
        <w:tab/>
      </w:r>
      <w:r>
        <w:rPr>
          <w:rFonts w:hint="eastAsia"/>
        </w:rPr>
        <w:fldChar w:fldCharType="end"/>
      </w:r>
      <w:r>
        <w:rPr>
          <w:rFonts w:hint="eastAsia"/>
        </w:rPr>
        <w:fldChar w:fldCharType="begin"/>
      </w:r>
      <w:r>
        <w:rPr>
          <w:rFonts w:hint="default"/>
        </w:rPr>
        <w:instrText xml:space="preserve"> PAGEREF _Toc73347189 \h </w:instrText>
      </w:r>
      <w:r>
        <w:rPr>
          <w:rFonts w:hint="eastAsia"/>
        </w:rPr>
        <w:fldChar w:fldCharType="separate"/>
      </w:r>
      <w:r>
        <w:rPr>
          <w:rFonts w:hint="eastAsia"/>
        </w:rPr>
        <w:fldChar w:fldCharType="begin"/>
      </w:r>
      <w:r>
        <w:rPr>
          <w:rFonts w:hint="eastAsia"/>
        </w:rPr>
        <w:instrText xml:space="preserve"> HYPERLINK  \l "_Toc73347189"</w:instrText>
      </w:r>
      <w:r>
        <w:rPr>
          <w:rFonts w:hint="eastAsia"/>
        </w:rPr>
        <w:fldChar w:fldCharType="separate"/>
      </w:r>
      <w:r>
        <w:rPr>
          <w:rFonts w:hint="default"/>
        </w:rPr>
        <w:t>31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"_Toc73347190"</w:instrText>
      </w:r>
      <w:r>
        <w:rPr>
          <w:rFonts w:hint="eastAsia"/>
        </w:rPr>
        <w:fldChar w:fldCharType="separate"/>
      </w:r>
      <w:r>
        <w:rPr>
          <w:rFonts w:hint="default"/>
        </w:rPr>
        <w:t>２</w:t>
      </w:r>
      <w:r>
        <w:rPr>
          <w:rFonts w:hint="default"/>
        </w:rPr>
        <w:t xml:space="preserve"> </w:t>
      </w:r>
      <w:r>
        <w:rPr>
          <w:rFonts w:hint="default"/>
        </w:rPr>
        <w:t>改修等の基本的な方針</w:t>
      </w:r>
      <w:r>
        <w:rPr>
          <w:rFonts w:hint="default"/>
        </w:rPr>
        <w:tab/>
      </w:r>
      <w:r>
        <w:rPr>
          <w:rFonts w:hint="eastAsia"/>
        </w:rPr>
        <w:fldChar w:fldCharType="end"/>
      </w:r>
      <w:r>
        <w:rPr>
          <w:rFonts w:hint="eastAsia"/>
        </w:rPr>
        <w:fldChar w:fldCharType="begin"/>
      </w:r>
      <w:r>
        <w:rPr>
          <w:rFonts w:hint="default"/>
        </w:rPr>
        <w:instrText xml:space="preserve"> PAGEREF _Toc73347190 \h </w:instrText>
      </w:r>
      <w:r>
        <w:rPr>
          <w:rFonts w:hint="eastAsia"/>
        </w:rPr>
        <w:fldChar w:fldCharType="separate"/>
      </w:r>
      <w:r>
        <w:rPr>
          <w:rFonts w:hint="eastAsia"/>
        </w:rPr>
        <w:fldChar w:fldCharType="begin"/>
      </w:r>
      <w:r>
        <w:rPr>
          <w:rFonts w:hint="eastAsia"/>
        </w:rPr>
        <w:instrText xml:space="preserve"> HYPERLINK  \l "_Toc73347190"</w:instrText>
      </w:r>
      <w:r>
        <w:rPr>
          <w:rFonts w:hint="eastAsia"/>
        </w:rPr>
        <w:fldChar w:fldCharType="separate"/>
      </w:r>
      <w:r>
        <w:rPr>
          <w:rFonts w:hint="default"/>
        </w:rPr>
        <w:t>33</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"_Toc73347191"</w:instrText>
      </w:r>
      <w:r>
        <w:rPr>
          <w:rFonts w:hint="eastAsia"/>
        </w:rPr>
        <w:fldChar w:fldCharType="separate"/>
      </w:r>
      <w:r>
        <w:rPr>
          <w:rFonts w:hint="default"/>
        </w:rPr>
        <w:t>第５章</w:t>
      </w:r>
      <w:r>
        <w:rPr>
          <w:rFonts w:hint="default"/>
        </w:rPr>
        <w:t xml:space="preserve"> </w:t>
      </w:r>
      <w:r>
        <w:rPr>
          <w:rFonts w:hint="default"/>
        </w:rPr>
        <w:t>基本的な方針等を踏まえた施設整備の水準</w:t>
      </w:r>
      <w:r>
        <w:rPr>
          <w:rFonts w:hint="default"/>
        </w:rPr>
        <w:tab/>
      </w:r>
      <w:r>
        <w:rPr>
          <w:rFonts w:hint="eastAsia"/>
        </w:rPr>
        <w:fldChar w:fldCharType="end"/>
      </w:r>
      <w:r>
        <w:rPr>
          <w:rFonts w:hint="eastAsia"/>
        </w:rPr>
        <w:fldChar w:fldCharType="begin"/>
      </w:r>
      <w:r>
        <w:rPr>
          <w:rFonts w:hint="default"/>
        </w:rPr>
        <w:instrText xml:space="preserve"> PAGEREF _Toc73347191 \h </w:instrText>
      </w:r>
      <w:r>
        <w:rPr>
          <w:rFonts w:hint="eastAsia"/>
        </w:rPr>
        <w:fldChar w:fldCharType="separate"/>
      </w:r>
      <w:r>
        <w:rPr>
          <w:rFonts w:hint="eastAsia"/>
        </w:rPr>
        <w:fldChar w:fldCharType="begin"/>
      </w:r>
      <w:r>
        <w:rPr>
          <w:rFonts w:hint="eastAsia"/>
        </w:rPr>
        <w:instrText xml:space="preserve"> HYPERLINK  \l "_Toc73347191"</w:instrText>
      </w:r>
      <w:r>
        <w:rPr>
          <w:rFonts w:hint="eastAsia"/>
        </w:rPr>
        <w:fldChar w:fldCharType="separate"/>
      </w:r>
      <w:r>
        <w:rPr>
          <w:rFonts w:hint="default"/>
        </w:rPr>
        <w:t>34</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"_Toc73347192"</w:instrText>
      </w:r>
      <w:r>
        <w:rPr>
          <w:rFonts w:hint="eastAsia"/>
        </w:rPr>
        <w:fldChar w:fldCharType="separate"/>
      </w:r>
      <w:r>
        <w:rPr>
          <w:rFonts w:hint="default"/>
        </w:rPr>
        <w:t>１</w:t>
      </w:r>
      <w:r>
        <w:rPr>
          <w:rFonts w:hint="default"/>
        </w:rPr>
        <w:t xml:space="preserve"> </w:t>
      </w:r>
      <w:r>
        <w:rPr>
          <w:rFonts w:hint="default"/>
        </w:rPr>
        <w:t>改修等の整備水準</w:t>
      </w:r>
      <w:r>
        <w:rPr>
          <w:rFonts w:hint="default"/>
        </w:rPr>
        <w:tab/>
      </w:r>
      <w:r>
        <w:rPr>
          <w:rFonts w:hint="eastAsia"/>
        </w:rPr>
        <w:fldChar w:fldCharType="end"/>
      </w:r>
      <w:r>
        <w:rPr>
          <w:rFonts w:hint="eastAsia"/>
        </w:rPr>
        <w:fldChar w:fldCharType="begin"/>
      </w:r>
      <w:r>
        <w:rPr>
          <w:rFonts w:hint="default"/>
        </w:rPr>
        <w:instrText xml:space="preserve"> PAGEREF _Toc73347192 \h </w:instrText>
      </w:r>
      <w:r>
        <w:rPr>
          <w:rFonts w:hint="eastAsia"/>
        </w:rPr>
        <w:fldChar w:fldCharType="separate"/>
      </w:r>
      <w:r>
        <w:rPr>
          <w:rFonts w:hint="eastAsia"/>
        </w:rPr>
        <w:fldChar w:fldCharType="begin"/>
      </w:r>
      <w:r>
        <w:rPr>
          <w:rFonts w:hint="eastAsia"/>
        </w:rPr>
        <w:instrText xml:space="preserve"> HYPERLINK  \l "_Toc73347192"</w:instrText>
      </w:r>
      <w:r>
        <w:rPr>
          <w:rFonts w:hint="eastAsia"/>
        </w:rPr>
        <w:fldChar w:fldCharType="separate"/>
      </w:r>
      <w:r>
        <w:rPr>
          <w:rFonts w:hint="default"/>
        </w:rPr>
        <w:t>34</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"_Toc73347193"</w:instrText>
      </w:r>
      <w:r>
        <w:rPr>
          <w:rFonts w:hint="eastAsia"/>
        </w:rPr>
        <w:fldChar w:fldCharType="separate"/>
      </w:r>
      <w:r>
        <w:rPr>
          <w:rFonts w:hint="default"/>
        </w:rPr>
        <w:t>２</w:t>
      </w:r>
      <w:r>
        <w:rPr>
          <w:rFonts w:hint="default"/>
        </w:rPr>
        <w:t xml:space="preserve"> </w:t>
      </w:r>
      <w:r>
        <w:rPr>
          <w:rFonts w:hint="default"/>
        </w:rPr>
        <w:t>維持管理の項目・手法等</w:t>
      </w:r>
      <w:r>
        <w:rPr>
          <w:rFonts w:hint="default"/>
        </w:rPr>
        <w:tab/>
      </w:r>
      <w:r>
        <w:rPr>
          <w:rFonts w:hint="eastAsia"/>
        </w:rPr>
        <w:fldChar w:fldCharType="end"/>
      </w:r>
      <w:r>
        <w:rPr>
          <w:rFonts w:hint="eastAsia"/>
        </w:rPr>
        <w:fldChar w:fldCharType="begin"/>
      </w:r>
      <w:r>
        <w:rPr>
          <w:rFonts w:hint="default"/>
        </w:rPr>
        <w:instrText xml:space="preserve"> PAGEREF _Toc73347193 \h </w:instrText>
      </w:r>
      <w:r>
        <w:rPr>
          <w:rFonts w:hint="eastAsia"/>
        </w:rPr>
        <w:fldChar w:fldCharType="separate"/>
      </w:r>
      <w:r>
        <w:rPr>
          <w:rFonts w:hint="eastAsia"/>
        </w:rPr>
        <w:fldChar w:fldCharType="begin"/>
      </w:r>
      <w:r>
        <w:rPr>
          <w:rFonts w:hint="eastAsia"/>
        </w:rPr>
        <w:instrText xml:space="preserve"> HYPERLINK  \l "_Toc73347193"</w:instrText>
      </w:r>
      <w:r>
        <w:rPr>
          <w:rFonts w:hint="eastAsia"/>
        </w:rPr>
        <w:fldChar w:fldCharType="separate"/>
      </w:r>
      <w:r>
        <w:rPr>
          <w:rFonts w:hint="default"/>
        </w:rPr>
        <w:t>35</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"_Toc73347194"</w:instrText>
      </w:r>
      <w:r>
        <w:rPr>
          <w:rFonts w:hint="eastAsia"/>
        </w:rPr>
        <w:fldChar w:fldCharType="separate"/>
      </w:r>
      <w:r>
        <w:rPr>
          <w:rFonts w:hint="default"/>
        </w:rPr>
        <w:t>第６章</w:t>
      </w:r>
      <w:r>
        <w:rPr>
          <w:rFonts w:hint="default"/>
        </w:rPr>
        <w:t xml:space="preserve"> </w:t>
      </w:r>
      <w:r>
        <w:rPr>
          <w:rFonts w:hint="default"/>
        </w:rPr>
        <w:t>長寿命化の実施計画</w:t>
      </w:r>
      <w:r>
        <w:rPr>
          <w:rFonts w:hint="default"/>
        </w:rPr>
        <w:tab/>
      </w:r>
      <w:r>
        <w:rPr>
          <w:rFonts w:hint="eastAsia"/>
        </w:rPr>
        <w:fldChar w:fldCharType="end"/>
      </w:r>
      <w:r>
        <w:rPr>
          <w:rFonts w:hint="eastAsia"/>
        </w:rPr>
        <w:fldChar w:fldCharType="begin"/>
      </w:r>
      <w:r>
        <w:rPr>
          <w:rFonts w:hint="default"/>
        </w:rPr>
        <w:instrText xml:space="preserve"> PAGEREF _Toc73347194 \h </w:instrText>
      </w:r>
      <w:r>
        <w:rPr>
          <w:rFonts w:hint="eastAsia"/>
        </w:rPr>
        <w:fldChar w:fldCharType="separate"/>
      </w:r>
      <w:r>
        <w:rPr>
          <w:rFonts w:hint="eastAsia"/>
        </w:rPr>
        <w:fldChar w:fldCharType="begin"/>
      </w:r>
      <w:r>
        <w:rPr>
          <w:rFonts w:hint="eastAsia"/>
        </w:rPr>
        <w:instrText xml:space="preserve"> HYPERLINK  \l "_Toc73347194"</w:instrText>
      </w:r>
      <w:r>
        <w:rPr>
          <w:rFonts w:hint="eastAsia"/>
        </w:rPr>
        <w:fldChar w:fldCharType="separate"/>
      </w:r>
      <w:r>
        <w:rPr>
          <w:rFonts w:hint="default"/>
        </w:rPr>
        <w:t>38</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"_Toc73347195"</w:instrText>
      </w:r>
      <w:r>
        <w:rPr>
          <w:rFonts w:hint="eastAsia"/>
        </w:rPr>
        <w:fldChar w:fldCharType="separate"/>
      </w:r>
      <w:r>
        <w:rPr>
          <w:rFonts w:hint="default"/>
        </w:rPr>
        <w:t>１</w:t>
      </w:r>
      <w:r>
        <w:rPr>
          <w:rFonts w:hint="default"/>
        </w:rPr>
        <w:t xml:space="preserve"> </w:t>
      </w:r>
      <w:r>
        <w:rPr>
          <w:rFonts w:hint="default"/>
        </w:rPr>
        <w:t>従来型の維持・更新コスト（</w:t>
      </w:r>
      <w:r>
        <w:rPr>
          <w:rFonts w:hint="default"/>
        </w:rPr>
        <w:t>Step 1</w:t>
      </w:r>
      <w:r>
        <w:rPr>
          <w:rFonts w:hint="default"/>
        </w:rPr>
        <w:t>）</w:t>
      </w:r>
      <w:r>
        <w:rPr>
          <w:rFonts w:hint="default"/>
        </w:rPr>
        <w:tab/>
      </w:r>
      <w:r>
        <w:rPr>
          <w:rFonts w:hint="eastAsia"/>
        </w:rPr>
        <w:fldChar w:fldCharType="end"/>
      </w:r>
      <w:r>
        <w:rPr>
          <w:rFonts w:hint="eastAsia"/>
        </w:rPr>
        <w:fldChar w:fldCharType="begin"/>
      </w:r>
      <w:r>
        <w:rPr>
          <w:rFonts w:hint="default"/>
        </w:rPr>
        <w:instrText xml:space="preserve"> PAGEREF _Toc73347195 \h </w:instrText>
      </w:r>
      <w:r>
        <w:rPr>
          <w:rFonts w:hint="eastAsia"/>
        </w:rPr>
        <w:fldChar w:fldCharType="separate"/>
      </w:r>
      <w:r>
        <w:rPr>
          <w:rFonts w:hint="eastAsia"/>
        </w:rPr>
        <w:fldChar w:fldCharType="begin"/>
      </w:r>
      <w:r>
        <w:rPr>
          <w:rFonts w:hint="eastAsia"/>
        </w:rPr>
        <w:instrText xml:space="preserve"> HYPERLINK  \l "_Toc73347195"</w:instrText>
      </w:r>
      <w:r>
        <w:rPr>
          <w:rFonts w:hint="eastAsia"/>
        </w:rPr>
        <w:fldChar w:fldCharType="separate"/>
      </w:r>
      <w:r>
        <w:rPr>
          <w:rFonts w:hint="default"/>
        </w:rPr>
        <w:t>38</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"_Toc73347196"</w:instrText>
      </w:r>
      <w:r>
        <w:rPr>
          <w:rFonts w:hint="eastAsia"/>
        </w:rPr>
        <w:fldChar w:fldCharType="separate"/>
      </w:r>
      <w:r>
        <w:rPr>
          <w:rFonts w:hint="default"/>
        </w:rPr>
        <w:t>２</w:t>
      </w:r>
      <w:r>
        <w:rPr>
          <w:rFonts w:hint="default"/>
        </w:rPr>
        <w:t xml:space="preserve"> </w:t>
      </w:r>
      <w:r>
        <w:rPr>
          <w:rFonts w:hint="default"/>
        </w:rPr>
        <w:t>標準的な長寿命化型の維持・更新コスト（</w:t>
      </w:r>
      <w:r>
        <w:rPr>
          <w:rFonts w:hint="default"/>
        </w:rPr>
        <w:t>Step 2</w:t>
      </w:r>
      <w:r>
        <w:rPr>
          <w:rFonts w:hint="default"/>
        </w:rPr>
        <w:t>）</w:t>
      </w:r>
      <w:r>
        <w:rPr>
          <w:rFonts w:hint="default"/>
        </w:rPr>
        <w:tab/>
      </w:r>
      <w:r>
        <w:rPr>
          <w:rFonts w:hint="eastAsia"/>
        </w:rPr>
        <w:fldChar w:fldCharType="end"/>
      </w:r>
      <w:r>
        <w:rPr>
          <w:rFonts w:hint="eastAsia"/>
        </w:rPr>
        <w:fldChar w:fldCharType="begin"/>
      </w:r>
      <w:r>
        <w:rPr>
          <w:rFonts w:hint="default"/>
        </w:rPr>
        <w:instrText xml:space="preserve"> PAGEREF _Toc73347196 \h </w:instrText>
      </w:r>
      <w:r>
        <w:rPr>
          <w:rFonts w:hint="eastAsia"/>
        </w:rPr>
        <w:fldChar w:fldCharType="separate"/>
      </w:r>
      <w:r>
        <w:rPr>
          <w:rFonts w:hint="eastAsia"/>
        </w:rPr>
        <w:fldChar w:fldCharType="begin"/>
      </w:r>
      <w:r>
        <w:rPr>
          <w:rFonts w:hint="eastAsia"/>
        </w:rPr>
        <w:instrText xml:space="preserve"> HYPERLINK  \l "_Toc73347196"</w:instrText>
      </w:r>
      <w:r>
        <w:rPr>
          <w:rFonts w:hint="eastAsia"/>
        </w:rPr>
        <w:fldChar w:fldCharType="separate"/>
      </w:r>
      <w:r>
        <w:rPr>
          <w:rFonts w:hint="default"/>
        </w:rPr>
        <w:t>40</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"_Toc73347197"</w:instrText>
      </w:r>
      <w:r>
        <w:rPr>
          <w:rFonts w:hint="eastAsia"/>
        </w:rPr>
        <w:fldChar w:fldCharType="separate"/>
      </w:r>
      <w:r>
        <w:rPr>
          <w:rFonts w:hint="default"/>
        </w:rPr>
        <w:t>３</w:t>
      </w:r>
      <w:r>
        <w:rPr>
          <w:rFonts w:hint="default"/>
        </w:rPr>
        <w:t xml:space="preserve"> </w:t>
      </w:r>
      <w:r>
        <w:rPr>
          <w:rFonts w:hint="default"/>
        </w:rPr>
        <w:t>改修履歴を考慮した長寿命化型の維持・更新コスト（</w:t>
      </w:r>
      <w:r>
        <w:rPr>
          <w:rFonts w:hint="default"/>
        </w:rPr>
        <w:t>Step 3</w:t>
      </w:r>
      <w:r>
        <w:rPr>
          <w:rFonts w:hint="default"/>
        </w:rPr>
        <w:t>）</w:t>
      </w:r>
      <w:r>
        <w:rPr>
          <w:rFonts w:hint="default"/>
        </w:rPr>
        <w:tab/>
      </w:r>
      <w:r>
        <w:rPr>
          <w:rFonts w:hint="eastAsia"/>
        </w:rPr>
        <w:fldChar w:fldCharType="end"/>
      </w:r>
      <w:r>
        <w:rPr>
          <w:rFonts w:hint="eastAsia"/>
        </w:rPr>
        <w:fldChar w:fldCharType="begin"/>
      </w:r>
      <w:r>
        <w:rPr>
          <w:rFonts w:hint="default"/>
        </w:rPr>
        <w:instrText xml:space="preserve"> PAGEREF _Toc73347197 \h </w:instrText>
      </w:r>
      <w:r>
        <w:rPr>
          <w:rFonts w:hint="eastAsia"/>
        </w:rPr>
        <w:fldChar w:fldCharType="separate"/>
      </w:r>
      <w:r>
        <w:rPr>
          <w:rFonts w:hint="eastAsia"/>
        </w:rPr>
        <w:fldChar w:fldCharType="begin"/>
      </w:r>
      <w:r>
        <w:rPr>
          <w:rFonts w:hint="eastAsia"/>
        </w:rPr>
        <w:instrText xml:space="preserve"> HYPERLINK  \l "_Toc73347197"</w:instrText>
      </w:r>
      <w:r>
        <w:rPr>
          <w:rFonts w:hint="eastAsia"/>
        </w:rPr>
        <w:fldChar w:fldCharType="separate"/>
      </w:r>
      <w:r>
        <w:rPr>
          <w:rFonts w:hint="default"/>
        </w:rPr>
        <w:t>42</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"_Toc73347198"</w:instrText>
      </w:r>
      <w:r>
        <w:rPr>
          <w:rFonts w:hint="eastAsia"/>
        </w:rPr>
        <w:fldChar w:fldCharType="separate"/>
      </w:r>
      <w:r>
        <w:rPr>
          <w:rFonts w:hint="default"/>
        </w:rPr>
        <w:t>４</w:t>
      </w:r>
      <w:r>
        <w:rPr>
          <w:rFonts w:hint="default"/>
        </w:rPr>
        <w:t xml:space="preserve"> </w:t>
      </w:r>
      <w:r>
        <w:rPr>
          <w:rFonts w:hint="default"/>
        </w:rPr>
        <w:t>学校規模適正化を図った場合の長寿命化型の維持・更新コスト</w:t>
      </w:r>
      <w:r>
        <w:rPr>
          <w:rFonts w:hint="default"/>
        </w:rPr>
        <w:tab/>
      </w:r>
      <w:r>
        <w:rPr>
          <w:rFonts w:hint="eastAsia"/>
        </w:rPr>
        <w:fldChar w:fldCharType="end"/>
      </w:r>
      <w:r>
        <w:rPr>
          <w:rFonts w:hint="eastAsia"/>
        </w:rPr>
        <w:fldChar w:fldCharType="begin"/>
      </w:r>
      <w:r>
        <w:rPr>
          <w:rFonts w:hint="default"/>
        </w:rPr>
        <w:instrText xml:space="preserve"> PAGEREF _Toc73347198 \h </w:instrText>
      </w:r>
      <w:r>
        <w:rPr>
          <w:rFonts w:hint="eastAsia"/>
        </w:rPr>
        <w:fldChar w:fldCharType="separate"/>
      </w:r>
      <w:r>
        <w:rPr>
          <w:rFonts w:hint="eastAsia"/>
        </w:rPr>
        <w:fldChar w:fldCharType="begin"/>
      </w:r>
      <w:r>
        <w:rPr>
          <w:rFonts w:hint="eastAsia"/>
        </w:rPr>
        <w:instrText xml:space="preserve"> HYPERLINK  \l "_Toc73347198"</w:instrText>
      </w:r>
      <w:r>
        <w:rPr>
          <w:rFonts w:hint="eastAsia"/>
        </w:rPr>
        <w:fldChar w:fldCharType="separate"/>
      </w:r>
      <w:r>
        <w:rPr>
          <w:rFonts w:hint="default"/>
        </w:rPr>
        <w:t>45</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"_Toc73347199"</w:instrText>
      </w:r>
      <w:r>
        <w:rPr>
          <w:rFonts w:hint="eastAsia"/>
        </w:rPr>
        <w:fldChar w:fldCharType="separate"/>
      </w:r>
      <w:r>
        <w:rPr>
          <w:rFonts w:hint="default"/>
        </w:rPr>
        <w:t>第７章</w:t>
      </w:r>
      <w:r>
        <w:rPr>
          <w:rFonts w:hint="default"/>
        </w:rPr>
        <w:t xml:space="preserve"> </w:t>
      </w:r>
      <w:r>
        <w:rPr>
          <w:rFonts w:hint="default"/>
        </w:rPr>
        <w:t>長寿命化計画の継続的運用方針</w:t>
      </w:r>
      <w:r>
        <w:rPr>
          <w:rFonts w:hint="default"/>
        </w:rPr>
        <w:tab/>
      </w:r>
      <w:r>
        <w:rPr>
          <w:rFonts w:hint="eastAsia"/>
        </w:rPr>
        <w:fldChar w:fldCharType="end"/>
      </w:r>
      <w:r>
        <w:rPr>
          <w:rFonts w:hint="eastAsia"/>
        </w:rPr>
        <w:fldChar w:fldCharType="begin"/>
      </w:r>
      <w:r>
        <w:rPr>
          <w:rFonts w:hint="default"/>
        </w:rPr>
        <w:instrText xml:space="preserve"> PAGEREF _Toc73347199 \h </w:instrText>
      </w:r>
      <w:r>
        <w:rPr>
          <w:rFonts w:hint="eastAsia"/>
        </w:rPr>
        <w:fldChar w:fldCharType="separate"/>
      </w:r>
      <w:r>
        <w:rPr>
          <w:rFonts w:hint="eastAsia"/>
        </w:rPr>
        <w:fldChar w:fldCharType="begin"/>
      </w:r>
      <w:r>
        <w:rPr>
          <w:rFonts w:hint="eastAsia"/>
        </w:rPr>
        <w:instrText xml:space="preserve"> HYPERLINK  \l "_Toc73347199"</w:instrText>
      </w:r>
      <w:r>
        <w:rPr>
          <w:rFonts w:hint="eastAsia"/>
        </w:rPr>
        <w:fldChar w:fldCharType="separate"/>
      </w:r>
      <w:r>
        <w:rPr>
          <w:rFonts w:hint="default"/>
        </w:rPr>
        <w:t>48</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"_Toc73347200"</w:instrText>
      </w:r>
      <w:r>
        <w:rPr>
          <w:rFonts w:hint="eastAsia"/>
        </w:rPr>
        <w:fldChar w:fldCharType="separate"/>
      </w:r>
      <w:r>
        <w:rPr>
          <w:rFonts w:hint="default"/>
        </w:rPr>
        <w:t>１</w:t>
      </w:r>
      <w:r>
        <w:rPr>
          <w:rFonts w:hint="default"/>
        </w:rPr>
        <w:t xml:space="preserve"> </w:t>
      </w:r>
      <w:r>
        <w:rPr>
          <w:rFonts w:hint="default"/>
        </w:rPr>
        <w:t>情報基盤の整備と活用</w:t>
      </w:r>
      <w:r>
        <w:rPr>
          <w:rFonts w:hint="default"/>
        </w:rPr>
        <w:tab/>
      </w:r>
      <w:r>
        <w:rPr>
          <w:rFonts w:hint="eastAsia"/>
        </w:rPr>
        <w:fldChar w:fldCharType="end"/>
      </w:r>
      <w:r>
        <w:rPr>
          <w:rFonts w:hint="eastAsia"/>
        </w:rPr>
        <w:fldChar w:fldCharType="begin"/>
      </w:r>
      <w:r>
        <w:rPr>
          <w:rFonts w:hint="default"/>
        </w:rPr>
        <w:instrText xml:space="preserve"> PAGEREF _Toc73347200 \h </w:instrText>
      </w:r>
      <w:r>
        <w:rPr>
          <w:rFonts w:hint="eastAsia"/>
        </w:rPr>
        <w:fldChar w:fldCharType="separate"/>
      </w:r>
      <w:r>
        <w:rPr>
          <w:rFonts w:hint="eastAsia"/>
        </w:rPr>
        <w:fldChar w:fldCharType="begin"/>
      </w:r>
      <w:r>
        <w:rPr>
          <w:rFonts w:hint="eastAsia"/>
        </w:rPr>
        <w:instrText xml:space="preserve"> HYPERLINK  \l "_Toc73347200"</w:instrText>
      </w:r>
      <w:r>
        <w:rPr>
          <w:rFonts w:hint="eastAsia"/>
        </w:rPr>
        <w:fldChar w:fldCharType="separate"/>
      </w:r>
      <w:r>
        <w:rPr>
          <w:rFonts w:hint="default"/>
        </w:rPr>
        <w:t>48</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"_Toc73347201"</w:instrText>
      </w:r>
      <w:r>
        <w:rPr>
          <w:rFonts w:hint="eastAsia"/>
        </w:rPr>
        <w:fldChar w:fldCharType="separate"/>
      </w:r>
      <w:r>
        <w:rPr>
          <w:rFonts w:hint="default"/>
        </w:rPr>
        <w:t>２</w:t>
      </w:r>
      <w:r>
        <w:rPr>
          <w:rFonts w:hint="default"/>
        </w:rPr>
        <w:t xml:space="preserve"> </w:t>
      </w:r>
      <w:r>
        <w:rPr>
          <w:rFonts w:hint="default"/>
        </w:rPr>
        <w:t>推進体制等の整備</w:t>
      </w:r>
      <w:r>
        <w:rPr>
          <w:rFonts w:hint="default"/>
        </w:rPr>
        <w:tab/>
      </w:r>
      <w:r>
        <w:rPr>
          <w:rFonts w:hint="eastAsia"/>
        </w:rPr>
        <w:fldChar w:fldCharType="end"/>
      </w:r>
      <w:r>
        <w:rPr>
          <w:rFonts w:hint="eastAsia"/>
        </w:rPr>
        <w:fldChar w:fldCharType="begin"/>
      </w:r>
      <w:r>
        <w:rPr>
          <w:rFonts w:hint="default"/>
        </w:rPr>
        <w:instrText xml:space="preserve"> PAGEREF _Toc73347201 \h </w:instrText>
      </w:r>
      <w:r>
        <w:rPr>
          <w:rFonts w:hint="eastAsia"/>
        </w:rPr>
        <w:fldChar w:fldCharType="separate"/>
      </w:r>
      <w:r>
        <w:rPr>
          <w:rFonts w:hint="eastAsia"/>
        </w:rPr>
        <w:fldChar w:fldCharType="begin"/>
      </w:r>
      <w:r>
        <w:rPr>
          <w:rFonts w:hint="eastAsia"/>
        </w:rPr>
        <w:instrText xml:space="preserve"> HYPERLINK  \l "_Toc73347201"</w:instrText>
      </w:r>
      <w:r>
        <w:rPr>
          <w:rFonts w:hint="eastAsia"/>
        </w:rPr>
        <w:fldChar w:fldCharType="separate"/>
      </w:r>
      <w:r>
        <w:rPr>
          <w:rFonts w:hint="default"/>
        </w:rPr>
        <w:t>49</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"_Toc73347202"</w:instrText>
      </w:r>
      <w:r>
        <w:rPr>
          <w:rFonts w:hint="eastAsia"/>
        </w:rPr>
        <w:fldChar w:fldCharType="separate"/>
      </w:r>
      <w:r>
        <w:rPr>
          <w:rFonts w:hint="default"/>
        </w:rPr>
        <w:t>３</w:t>
      </w:r>
      <w:r>
        <w:rPr>
          <w:rFonts w:hint="default"/>
        </w:rPr>
        <w:t xml:space="preserve"> </w:t>
      </w:r>
      <w:r>
        <w:rPr>
          <w:rFonts w:hint="default"/>
        </w:rPr>
        <w:t>フォローアップ</w:t>
      </w:r>
      <w:r>
        <w:rPr>
          <w:rFonts w:hint="default"/>
        </w:rPr>
        <w:tab/>
      </w:r>
      <w:r>
        <w:rPr>
          <w:rFonts w:hint="eastAsia"/>
        </w:rPr>
        <w:fldChar w:fldCharType="end"/>
      </w:r>
      <w:r>
        <w:rPr>
          <w:rFonts w:hint="eastAsia"/>
        </w:rPr>
        <w:fldChar w:fldCharType="begin"/>
      </w:r>
      <w:r>
        <w:rPr>
          <w:rFonts w:hint="default"/>
        </w:rPr>
        <w:instrText xml:space="preserve"> PAGEREF _Toc73347202 \h </w:instrText>
      </w:r>
      <w:r>
        <w:rPr>
          <w:rFonts w:hint="eastAsia"/>
        </w:rPr>
        <w:fldChar w:fldCharType="separate"/>
      </w:r>
      <w:r>
        <w:rPr>
          <w:rFonts w:hint="eastAsia"/>
        </w:rPr>
        <w:fldChar w:fldCharType="begin"/>
      </w:r>
      <w:r>
        <w:rPr>
          <w:rFonts w:hint="eastAsia"/>
        </w:rPr>
        <w:instrText xml:space="preserve"> HYPERLINK  \l "_Toc73347202"</w:instrText>
      </w:r>
      <w:r>
        <w:rPr>
          <w:rFonts w:hint="eastAsia"/>
        </w:rPr>
        <w:fldChar w:fldCharType="separate"/>
      </w:r>
      <w:r>
        <w:rPr>
          <w:rFonts w:hint="default"/>
        </w:rPr>
        <w:t>49</w:t>
      </w:r>
      <w:r>
        <w:rPr>
          <w:rFonts w:hint="eastAsia"/>
        </w:rPr>
        <w:fldChar w:fldCharType="end"/>
      </w:r>
      <w:r>
        <w:rPr>
          <w:rFonts w:hint="eastAsia"/>
        </w:rPr>
        <w:fldChar w:fldCharType="end"/>
      </w:r>
    </w:p>
    <w:p>
      <w:pPr>
        <w:pStyle w:val="30"/>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"_Toc73347203"</w:instrText>
      </w:r>
      <w:r>
        <w:rPr>
          <w:rFonts w:hint="eastAsia"/>
        </w:rPr>
        <w:fldChar w:fldCharType="separate"/>
      </w:r>
      <w:r>
        <w:rPr>
          <w:rFonts w:hint="default"/>
        </w:rPr>
        <w:t>資料編</w:t>
      </w:r>
      <w:r>
        <w:rPr>
          <w:rFonts w:hint="default"/>
        </w:rPr>
        <w:tab/>
      </w:r>
      <w:r>
        <w:rPr>
          <w:rFonts w:hint="eastAsia"/>
        </w:rPr>
        <w:fldChar w:fldCharType="end"/>
      </w:r>
      <w:r>
        <w:rPr>
          <w:rFonts w:hint="eastAsia"/>
        </w:rPr>
        <w:fldChar w:fldCharType="begin"/>
      </w:r>
      <w:r>
        <w:rPr>
          <w:rFonts w:hint="default"/>
        </w:rPr>
        <w:instrText xml:space="preserve"> PAGEREF _Toc73347203 \h </w:instrText>
      </w:r>
      <w:r>
        <w:rPr>
          <w:rFonts w:hint="eastAsia"/>
        </w:rPr>
        <w:fldChar w:fldCharType="separate"/>
      </w:r>
      <w:r>
        <w:rPr>
          <w:rFonts w:hint="eastAsia"/>
        </w:rPr>
        <w:fldChar w:fldCharType="begin"/>
      </w:r>
      <w:r>
        <w:rPr>
          <w:rFonts w:hint="eastAsia"/>
        </w:rPr>
        <w:instrText xml:space="preserve"> HYPERLINK  \l "_Toc73347203"</w:instrText>
      </w:r>
      <w:r>
        <w:rPr>
          <w:rFonts w:hint="eastAsia"/>
        </w:rPr>
        <w:fldChar w:fldCharType="separate"/>
      </w:r>
      <w:r>
        <w:rPr>
          <w:rFonts w:hint="default"/>
        </w:rPr>
        <w:t>50</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"_Toc73347204"</w:instrText>
      </w:r>
      <w:r>
        <w:rPr>
          <w:rFonts w:hint="eastAsia"/>
        </w:rPr>
        <w:fldChar w:fldCharType="separate"/>
      </w:r>
      <w:r>
        <w:rPr>
          <w:rFonts w:hint="default"/>
        </w:rPr>
        <w:t>用語集</w:t>
      </w:r>
      <w:r>
        <w:rPr>
          <w:rFonts w:hint="default"/>
        </w:rPr>
        <w:tab/>
      </w:r>
      <w:r>
        <w:rPr>
          <w:rFonts w:hint="eastAsia"/>
        </w:rPr>
        <w:fldChar w:fldCharType="end"/>
      </w:r>
      <w:r>
        <w:rPr>
          <w:rFonts w:hint="eastAsia"/>
        </w:rPr>
        <w:fldChar w:fldCharType="begin"/>
      </w:r>
      <w:r>
        <w:rPr>
          <w:rFonts w:hint="default"/>
        </w:rPr>
        <w:instrText xml:space="preserve"> PAGEREF _Toc73347204 \h </w:instrText>
      </w:r>
      <w:r>
        <w:rPr>
          <w:rFonts w:hint="eastAsia"/>
        </w:rPr>
        <w:fldChar w:fldCharType="separate"/>
      </w:r>
      <w:r>
        <w:rPr>
          <w:rFonts w:hint="eastAsia"/>
        </w:rPr>
        <w:fldChar w:fldCharType="begin"/>
      </w:r>
      <w:r>
        <w:rPr>
          <w:rFonts w:hint="eastAsia"/>
        </w:rPr>
        <w:instrText xml:space="preserve"> HYPERLINK  \l "_Toc73347204"</w:instrText>
      </w:r>
      <w:r>
        <w:rPr>
          <w:rFonts w:hint="eastAsia"/>
        </w:rPr>
        <w:fldChar w:fldCharType="separate"/>
      </w:r>
      <w:r>
        <w:rPr>
          <w:rFonts w:hint="default"/>
        </w:rPr>
        <w:t>50</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"_Toc73347205"</w:instrText>
      </w:r>
      <w:r>
        <w:rPr>
          <w:rFonts w:hint="eastAsia"/>
        </w:rPr>
        <w:fldChar w:fldCharType="separate"/>
      </w:r>
      <w:r>
        <w:rPr>
          <w:rFonts w:hint="default"/>
        </w:rPr>
        <w:t>改修履歴を考慮した長寿命化型（</w:t>
      </w:r>
      <w:r>
        <w:rPr>
          <w:rFonts w:hint="default"/>
        </w:rPr>
        <w:t>Ste</w:t>
      </w:r>
      <w:r>
        <w:rPr>
          <w:rFonts w:hint="default"/>
        </w:rPr>
        <w:t>ｐ</w:t>
      </w:r>
      <w:r>
        <w:rPr>
          <w:rFonts w:hint="default"/>
        </w:rPr>
        <w:t>3</w:t>
      </w:r>
      <w:r>
        <w:rPr>
          <w:rFonts w:hint="default"/>
        </w:rPr>
        <w:t>）における各工事の実施年度</w:t>
      </w:r>
      <w:r>
        <w:rPr>
          <w:rFonts w:hint="default"/>
        </w:rPr>
        <w:tab/>
      </w:r>
      <w:r>
        <w:rPr>
          <w:rFonts w:hint="eastAsia"/>
        </w:rPr>
        <w:fldChar w:fldCharType="end"/>
      </w:r>
      <w:r>
        <w:rPr>
          <w:rFonts w:hint="eastAsia"/>
        </w:rPr>
        <w:fldChar w:fldCharType="begin"/>
      </w:r>
      <w:r>
        <w:rPr>
          <w:rFonts w:hint="default"/>
        </w:rPr>
        <w:instrText xml:space="preserve"> PAGEREF _Toc73347205 \h </w:instrText>
      </w:r>
      <w:r>
        <w:rPr>
          <w:rFonts w:hint="eastAsia"/>
        </w:rPr>
        <w:fldChar w:fldCharType="separate"/>
      </w:r>
      <w:r>
        <w:rPr>
          <w:rFonts w:hint="eastAsia"/>
        </w:rPr>
        <w:fldChar w:fldCharType="begin"/>
      </w:r>
      <w:r>
        <w:rPr>
          <w:rFonts w:hint="eastAsia"/>
        </w:rPr>
        <w:instrText xml:space="preserve"> HYPERLINK  \l "_Toc73347205"</w:instrText>
      </w:r>
      <w:r>
        <w:rPr>
          <w:rFonts w:hint="eastAsia"/>
        </w:rPr>
        <w:fldChar w:fldCharType="separate"/>
      </w:r>
      <w:r>
        <w:rPr>
          <w:rFonts w:hint="default"/>
        </w:rPr>
        <w:t>51</w:t>
      </w:r>
      <w:r>
        <w:rPr>
          <w:rFonts w:hint="eastAsia"/>
        </w:rPr>
        <w:fldChar w:fldCharType="end"/>
      </w:r>
      <w:r>
        <w:rPr>
          <w:rFonts w:hint="eastAsia"/>
        </w:rPr>
        <w:fldChar w:fldCharType="end"/>
      </w:r>
    </w:p>
    <w:p>
      <w:pPr>
        <w:pStyle w:val="31"/>
        <w:tabs>
          <w:tab w:val="right" w:leader="dot" w:pos="9060"/>
        </w:tabs>
        <w:rPr>
          <w:rFonts w:hint="default" w:asciiTheme="minorHAnsi" w:hAnsiTheme="minorHAnsi" w:eastAsiaTheme="minorEastAsia"/>
          <w:sz w:val="21"/>
        </w:rPr>
      </w:pPr>
      <w:r>
        <w:rPr>
          <w:rFonts w:hint="eastAsia"/>
        </w:rPr>
        <w:fldChar w:fldCharType="begin"/>
      </w:r>
      <w:r>
        <w:rPr>
          <w:rFonts w:hint="eastAsia"/>
        </w:rPr>
        <w:instrText xml:space="preserve"> HYPERLINK  \l "_Toc73347206"</w:instrText>
      </w:r>
      <w:r>
        <w:rPr>
          <w:rFonts w:hint="eastAsia"/>
        </w:rPr>
        <w:fldChar w:fldCharType="separate"/>
      </w:r>
      <w:r>
        <w:rPr>
          <w:rFonts w:hint="default"/>
        </w:rPr>
        <w:t>直近５年の整備計画</w:t>
      </w:r>
      <w:r>
        <w:rPr>
          <w:rFonts w:hint="default"/>
        </w:rPr>
        <w:tab/>
      </w:r>
      <w:r>
        <w:rPr>
          <w:rFonts w:hint="eastAsia"/>
        </w:rPr>
        <w:fldChar w:fldCharType="end"/>
      </w:r>
      <w:r>
        <w:rPr>
          <w:rFonts w:hint="eastAsia"/>
        </w:rPr>
        <w:fldChar w:fldCharType="begin"/>
      </w:r>
      <w:r>
        <w:rPr>
          <w:rFonts w:hint="default"/>
        </w:rPr>
        <w:instrText xml:space="preserve"> PAGEREF _Toc73347206 \h </w:instrText>
      </w:r>
      <w:r>
        <w:rPr>
          <w:rFonts w:hint="eastAsia"/>
        </w:rPr>
        <w:fldChar w:fldCharType="separate"/>
      </w:r>
      <w:r>
        <w:rPr>
          <w:rFonts w:hint="eastAsia"/>
        </w:rPr>
        <w:fldChar w:fldCharType="begin"/>
      </w:r>
      <w:r>
        <w:rPr>
          <w:rFonts w:hint="eastAsia"/>
        </w:rPr>
        <w:instrText xml:space="preserve"> HYPERLINK  \l "_Toc73347206"</w:instrText>
      </w:r>
      <w:r>
        <w:rPr>
          <w:rFonts w:hint="eastAsia"/>
        </w:rPr>
        <w:fldChar w:fldCharType="separate"/>
      </w:r>
      <w:r>
        <w:rPr>
          <w:rFonts w:hint="default"/>
        </w:rPr>
        <w:t>53</w:t>
      </w:r>
      <w:r>
        <w:rPr>
          <w:rFonts w:hint="eastAsia"/>
        </w:rPr>
        <w:fldChar w:fldCharType="end"/>
      </w:r>
      <w:r>
        <w:rPr>
          <w:rFonts w:hint="eastAsia"/>
        </w:rPr>
        <w:fldChar w:fldCharType="end"/>
      </w:r>
    </w:p>
    <w:p>
      <w:pPr>
        <w:pStyle w:val="0"/>
        <w:tabs>
          <w:tab w:val="right" w:leader="dot" w:pos="9736"/>
        </w:tabs>
        <w:rPr>
          <w:rFonts w:hint="default"/>
        </w:rPr>
      </w:pPr>
      <w:r>
        <w:rPr>
          <w:rFonts w:hint="default"/>
        </w:rPr>
        <w:fldChar w:fldCharType="end"/>
      </w:r>
    </w:p>
    <w:p>
      <w:pPr>
        <w:pStyle w:val="0"/>
        <w:widowControl w:val="1"/>
        <w:jc w:val="left"/>
        <w:rPr>
          <w:rFonts w:hint="default"/>
        </w:rPr>
      </w:pPr>
      <w:r>
        <w:rPr>
          <w:rFonts w:hint="default"/>
        </w:rPr>
        <w:br w:type="page"/>
      </w:r>
    </w:p>
    <w:p>
      <w:pPr>
        <w:rPr>
          <w:rFonts w:hint="default"/>
        </w:rPr>
        <w:sectPr>
          <w:headerReference r:id="rId6" w:type="default"/>
          <w:footerReference r:id="rId7" w:type="default"/>
          <w:pgSz w:w="11906" w:h="16838"/>
          <w:pgMar w:top="1134" w:right="1418" w:bottom="1134" w:left="1418" w:header="567" w:footer="680" w:gutter="0"/>
          <w:cols w:space="720"/>
          <w:titlePg w:val="1"/>
          <w:textDirection w:val="lrTb"/>
          <w:docGrid w:type="linesAndChars" w:linePitch="360"/>
        </w:sectPr>
      </w:pPr>
    </w:p>
    <w:p>
      <w:pPr>
        <w:pStyle w:val="1"/>
        <w:numPr>
          <w:ilvl w:val="0"/>
          <w:numId w:val="2"/>
        </w:numPr>
        <w:rPr>
          <w:rFonts w:hint="default"/>
        </w:rPr>
      </w:pPr>
      <w:r>
        <w:rPr>
          <w:rFonts w:hint="eastAsia"/>
        </w:rPr>
        <w:t>　</w:t>
      </w:r>
      <w:bookmarkStart w:id="0" w:name="_Toc73347179"/>
      <w:r>
        <w:rPr>
          <w:rFonts w:hint="eastAsia"/>
        </w:rPr>
        <w:t>学校施設の長寿命化計画の背景・目的等</w:t>
      </w:r>
      <w:bookmarkEnd w:id="0"/>
    </w:p>
    <w:p>
      <w:pPr>
        <w:pStyle w:val="0"/>
        <w:rPr>
          <w:rFonts w:hint="default"/>
        </w:rPr>
      </w:pPr>
    </w:p>
    <w:p>
      <w:pPr>
        <w:pStyle w:val="2"/>
        <w:spacing w:after="240" w:afterLines="0" w:afterAutospacing="0"/>
        <w:rPr>
          <w:rFonts w:hint="default"/>
        </w:rPr>
      </w:pPr>
      <w:r>
        <w:rPr>
          <w:rFonts w:hint="eastAsia"/>
        </w:rPr>
        <w:t>　</w:t>
      </w:r>
      <w:bookmarkStart w:id="1" w:name="_Toc73347180"/>
      <w:r>
        <w:rPr>
          <w:rFonts w:hint="eastAsia"/>
        </w:rPr>
        <w:t>背景</w:t>
      </w:r>
      <w:bookmarkEnd w:id="1"/>
    </w:p>
    <w:p>
      <w:pPr>
        <w:pStyle w:val="49"/>
        <w:ind w:left="100" w:firstLine="0" w:firstLineChars="0"/>
        <w:jc w:val="both"/>
        <w:rPr>
          <w:rFonts w:hint="default"/>
        </w:rPr>
      </w:pPr>
      <w:r>
        <w:rPr>
          <w:rFonts w:hint="eastAsia"/>
        </w:rPr>
        <w:t>　本市の学校施設は、昭和</w:t>
      </w:r>
      <w:r>
        <w:rPr>
          <w:rFonts w:hint="default"/>
        </w:rPr>
        <w:t>40</w:t>
      </w:r>
      <w:r>
        <w:rPr>
          <w:rFonts w:hint="default"/>
        </w:rPr>
        <w:t>年代から</w:t>
      </w:r>
      <w:r>
        <w:rPr>
          <w:rFonts w:hint="eastAsia"/>
        </w:rPr>
        <w:t>始まった大規模住宅開発による</w:t>
      </w:r>
      <w:r>
        <w:rPr>
          <w:rFonts w:hint="default"/>
        </w:rPr>
        <w:t>急激な人口増加に伴う児童生徒数</w:t>
      </w:r>
      <w:r>
        <w:rPr>
          <w:rFonts w:hint="eastAsia"/>
        </w:rPr>
        <w:t>の増加にあわせて集中的に整備が行われてきました。</w:t>
      </w:r>
    </w:p>
    <w:p>
      <w:pPr>
        <w:pStyle w:val="49"/>
        <w:ind w:left="100" w:firstLine="0" w:firstLineChars="0"/>
        <w:jc w:val="both"/>
        <w:rPr>
          <w:rFonts w:hint="default"/>
        </w:rPr>
      </w:pPr>
      <w:r>
        <w:rPr>
          <w:rFonts w:hint="eastAsia"/>
        </w:rPr>
        <w:t>　それらのほとんどの学校施設が建設されてから</w:t>
      </w:r>
      <w:r>
        <w:rPr>
          <w:rFonts w:hint="default"/>
        </w:rPr>
        <w:t>30</w:t>
      </w:r>
      <w:r>
        <w:rPr>
          <w:rFonts w:hint="default"/>
        </w:rPr>
        <w:t>年以上経過しており、全体的に老朽化または機能低下が進行している状況</w:t>
      </w:r>
      <w:r>
        <w:rPr>
          <w:rFonts w:hint="eastAsia"/>
        </w:rPr>
        <w:t>であり、今後老朽化した学校施設の修繕や建替えに多額の費用が必要になると考えられており、これらの適正な維持管理が課題となっています。</w:t>
      </w:r>
    </w:p>
    <w:p>
      <w:pPr>
        <w:pStyle w:val="49"/>
        <w:ind w:left="100" w:firstLine="0" w:firstLineChars="0"/>
        <w:jc w:val="both"/>
        <w:rPr>
          <w:rFonts w:hint="default"/>
        </w:rPr>
      </w:pPr>
    </w:p>
    <w:p>
      <w:pPr>
        <w:pStyle w:val="2"/>
        <w:spacing w:after="240" w:afterLines="0" w:afterAutospacing="0"/>
        <w:rPr>
          <w:rFonts w:hint="default"/>
        </w:rPr>
      </w:pPr>
      <w:r>
        <w:rPr>
          <w:rFonts w:hint="eastAsia"/>
        </w:rPr>
        <w:t>　</w:t>
      </w:r>
      <w:bookmarkStart w:id="2" w:name="_Toc73347181"/>
      <w:r>
        <w:rPr>
          <w:rFonts w:hint="eastAsia"/>
        </w:rPr>
        <w:t>目的</w:t>
      </w:r>
      <w:bookmarkEnd w:id="2"/>
    </w:p>
    <w:p>
      <w:pPr>
        <w:pStyle w:val="49"/>
        <w:ind w:left="100" w:firstLine="0" w:firstLineChars="0"/>
        <w:jc w:val="both"/>
        <w:rPr>
          <w:rFonts w:hint="default"/>
        </w:rPr>
      </w:pPr>
      <w:r>
        <w:rPr>
          <w:rFonts w:hint="eastAsia"/>
        </w:rPr>
        <w:t>　阪南市学校施設等長寿命化個別計画（以下、「本計画」という。）は、教育委員会が所管する域内の学校施設等を対象とし、上記の背景や「阪南市公共施設等総合管理計画（平成</w:t>
      </w:r>
      <w:r>
        <w:rPr>
          <w:rFonts w:hint="eastAsia"/>
        </w:rPr>
        <w:t>2</w:t>
      </w:r>
      <w:r>
        <w:rPr>
          <w:rFonts w:hint="default"/>
        </w:rPr>
        <w:t>8</w:t>
      </w:r>
      <w:r>
        <w:rPr>
          <w:rFonts w:hint="default"/>
        </w:rPr>
        <w:t>年</w:t>
      </w:r>
      <w:r>
        <w:rPr>
          <w:rFonts w:hint="eastAsia"/>
        </w:rPr>
        <w:t>2</w:t>
      </w:r>
      <w:r>
        <w:rPr>
          <w:rFonts w:hint="default"/>
        </w:rPr>
        <w:t>月）」</w:t>
      </w:r>
      <w:r>
        <w:rPr>
          <w:rFonts w:hint="eastAsia"/>
        </w:rPr>
        <w:t>を踏まえ、総合的な観点で捉え、長寿命化できるものは長寿命化し、適正に修繕や建替えをするとともに、優先順位を設定しつつ、教育環境の質的改善も考慮しながら、それに要するコストの縮減と平準化を図ることを目的としています。</w:t>
      </w:r>
    </w:p>
    <w:p>
      <w:pPr>
        <w:pStyle w:val="49"/>
        <w:ind w:left="100" w:firstLine="0" w:firstLineChars="0"/>
        <w:jc w:val="both"/>
        <w:rPr>
          <w:rFonts w:hint="default"/>
        </w:rPr>
      </w:pPr>
    </w:p>
    <w:p>
      <w:pPr>
        <w:pStyle w:val="2"/>
        <w:spacing w:before="240" w:beforeLines="0" w:beforeAutospacing="0" w:after="240" w:afterLines="0" w:afterAutospacing="0"/>
        <w:rPr>
          <w:rFonts w:hint="default"/>
        </w:rPr>
      </w:pPr>
      <w:r>
        <w:rPr>
          <w:rFonts w:hint="eastAsia"/>
        </w:rPr>
        <w:t>　</w:t>
      </w:r>
      <w:bookmarkStart w:id="3" w:name="_Toc73347182"/>
      <w:r>
        <w:rPr>
          <w:rFonts w:hint="eastAsia"/>
        </w:rPr>
        <w:t>計画期間</w:t>
      </w:r>
      <w:bookmarkEnd w:id="3"/>
    </w:p>
    <w:p>
      <w:pPr>
        <w:pStyle w:val="49"/>
        <w:ind w:left="100" w:firstLine="0" w:firstLineChars="0"/>
        <w:jc w:val="both"/>
        <w:rPr>
          <w:rFonts w:hint="default"/>
        </w:rPr>
      </w:pPr>
      <w:r>
        <w:rPr>
          <w:rFonts w:hint="eastAsia"/>
        </w:rPr>
        <w:t>　計画期間は、上位計画である「阪南市公共施設等総合管理計画」と整合を図りつつ、令和</w:t>
      </w:r>
      <w:r>
        <w:rPr>
          <w:rFonts w:hint="eastAsia"/>
        </w:rPr>
        <w:t>3</w:t>
      </w:r>
      <w:r>
        <w:rPr>
          <w:rFonts w:hint="default"/>
        </w:rPr>
        <w:t>年</w:t>
      </w:r>
      <w:r>
        <w:rPr>
          <w:rFonts w:hint="eastAsia"/>
        </w:rPr>
        <w:t>度（</w:t>
      </w:r>
      <w:r>
        <w:rPr>
          <w:rFonts w:hint="default"/>
        </w:rPr>
        <w:t>2021</w:t>
      </w:r>
      <w:r>
        <w:rPr>
          <w:rFonts w:hint="default"/>
        </w:rPr>
        <w:t>年度）から令和</w:t>
      </w:r>
      <w:r>
        <w:rPr>
          <w:rFonts w:hint="default"/>
        </w:rPr>
        <w:t>42</w:t>
      </w:r>
      <w:r>
        <w:rPr>
          <w:rFonts w:hint="default"/>
        </w:rPr>
        <w:t>年度（</w:t>
      </w:r>
      <w:r>
        <w:rPr>
          <w:rFonts w:hint="default"/>
        </w:rPr>
        <w:t>2060</w:t>
      </w:r>
      <w:r>
        <w:rPr>
          <w:rFonts w:hint="default"/>
        </w:rPr>
        <w:t>年度）の</w:t>
      </w:r>
      <w:r>
        <w:rPr>
          <w:rFonts w:hint="default"/>
        </w:rPr>
        <w:t>40</w:t>
      </w:r>
      <w:r>
        <w:rPr>
          <w:rFonts w:hint="default"/>
        </w:rPr>
        <w:t>年間とします。</w:t>
      </w:r>
    </w:p>
    <w:p>
      <w:pPr>
        <w:pStyle w:val="49"/>
        <w:ind w:left="100" w:firstLine="0" w:firstLineChars="0"/>
        <w:jc w:val="both"/>
        <w:rPr>
          <w:rFonts w:hint="default"/>
        </w:rPr>
      </w:pPr>
      <w:r>
        <w:rPr>
          <w:rFonts w:hint="eastAsia"/>
        </w:rPr>
        <w:t>　また、実施実行については、施設の老朽化状況等の実態を継続的に把握し、</w:t>
      </w:r>
      <w:r>
        <w:rPr>
          <w:rFonts w:hint="default"/>
        </w:rPr>
        <w:t>PDCA</w:t>
      </w:r>
      <w:r>
        <w:rPr>
          <w:rFonts w:hint="default"/>
        </w:rPr>
        <w:t>サイクルによ</w:t>
      </w:r>
      <w:r>
        <w:rPr>
          <w:rFonts w:hint="eastAsia"/>
        </w:rPr>
        <w:t>る実行システムを構築します。なお、原則として</w:t>
      </w:r>
      <w:r>
        <w:rPr>
          <w:rFonts w:hint="default"/>
        </w:rPr>
        <w:t>5</w:t>
      </w:r>
      <w:r>
        <w:rPr>
          <w:rFonts w:hint="default"/>
        </w:rPr>
        <w:t>年ごとに計画の見直しを行うことを基本とし</w:t>
      </w:r>
      <w:r>
        <w:rPr>
          <w:rFonts w:hint="eastAsia"/>
        </w:rPr>
        <w:t>ます。</w:t>
      </w:r>
    </w:p>
    <w:p>
      <w:pPr>
        <w:pStyle w:val="49"/>
        <w:ind w:left="100" w:firstLine="0" w:firstLineChars="0"/>
        <w:jc w:val="both"/>
        <w:rPr>
          <w:rFonts w:hint="default"/>
        </w:rPr>
      </w:pPr>
    </w:p>
    <w:p>
      <w:pPr>
        <w:pStyle w:val="49"/>
        <w:ind w:left="100" w:firstLine="0" w:firstLineChars="0"/>
        <w:jc w:val="both"/>
        <w:rPr>
          <w:rFonts w:hint="default"/>
        </w:rPr>
      </w:pPr>
    </w:p>
    <w:p>
      <w:pPr>
        <w:pStyle w:val="0"/>
        <w:widowControl w:val="1"/>
        <w:jc w:val="left"/>
        <w:rPr>
          <w:rFonts w:hint="default" w:asciiTheme="majorHAnsi" w:hAnsiTheme="majorHAnsi"/>
          <w:b w:val="1"/>
          <w:color w:val="000000" w:themeColor="text1"/>
          <w:sz w:val="28"/>
        </w:rPr>
      </w:pPr>
      <w:r>
        <w:rPr>
          <w:rFonts w:hint="default"/>
        </w:rPr>
        <w:br w:type="page"/>
      </w:r>
    </w:p>
    <w:p>
      <w:pPr>
        <w:pStyle w:val="2"/>
        <w:spacing w:before="240" w:beforeLines="0" w:beforeAutospacing="0" w:after="240" w:afterLines="0" w:afterAutospacing="0"/>
        <w:rPr>
          <w:rFonts w:hint="default"/>
        </w:rPr>
      </w:pPr>
      <w:r>
        <w:rPr>
          <w:rFonts w:hint="eastAsia"/>
        </w:rPr>
        <w:t>　</w:t>
      </w:r>
      <w:bookmarkStart w:id="4" w:name="_Toc73347183"/>
      <w:r>
        <w:rPr>
          <w:rFonts w:hint="eastAsia"/>
        </w:rPr>
        <w:t>対象施設</w:t>
      </w:r>
      <w:bookmarkEnd w:id="4"/>
    </w:p>
    <w:p>
      <w:pPr>
        <w:pStyle w:val="3"/>
        <w:rPr>
          <w:rFonts w:hint="default"/>
        </w:rPr>
      </w:pPr>
      <w:r>
        <w:rPr>
          <w:rFonts w:hint="eastAsia"/>
        </w:rPr>
        <w:t>対象施設の概要</w:t>
      </w:r>
    </w:p>
    <w:p>
      <w:pPr>
        <w:pStyle w:val="49"/>
        <w:ind w:left="200" w:leftChars="100" w:firstLine="0" w:firstLineChars="0"/>
        <w:jc w:val="both"/>
        <w:rPr>
          <w:rFonts w:hint="default"/>
        </w:rPr>
      </w:pPr>
      <w:r>
        <w:rPr>
          <w:rFonts w:hint="eastAsia"/>
        </w:rPr>
        <w:t>　本計画の対象施設は下表に示すとおり、学校施設に属する小学校、中学校、学校給食センターを対象施設とします。</w:t>
      </w:r>
    </w:p>
    <w:p>
      <w:pPr>
        <w:pStyle w:val="49"/>
        <w:ind w:left="200" w:leftChars="100" w:firstLine="0" w:firstLineChars="0"/>
        <w:jc w:val="both"/>
        <w:rPr>
          <w:rFonts w:hint="default"/>
        </w:rPr>
      </w:pPr>
      <w:r>
        <w:rPr>
          <w:rFonts w:hint="eastAsia"/>
        </w:rPr>
        <w:t>　尾崎幼稚園と朝日幼稚園については令和４年４月に集約化・統合化により閉園予定であることから対象外施設としています。</w:t>
      </w:r>
    </w:p>
    <w:p>
      <w:pPr>
        <w:pStyle w:val="49"/>
        <w:ind w:left="200" w:leftChars="100" w:firstLine="0" w:firstLineChars="0"/>
        <w:jc w:val="both"/>
        <w:rPr>
          <w:rFonts w:hint="default"/>
          <w:color w:val="FF0000"/>
        </w:rPr>
      </w:pPr>
    </w:p>
    <w:p>
      <w:pPr>
        <w:pStyle w:val="33"/>
        <w:ind w:left="100" w:leftChars="50"/>
        <w:rPr>
          <w:rFonts w:hint="default" w:ascii="ＭＳ Ｐゴシック" w:hAnsi="ＭＳ Ｐゴシック" w:eastAsia="ＭＳ Ｐゴシック"/>
          <w:b w:val="0"/>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w:t>
      </w:r>
      <w:r>
        <w:rPr>
          <w:rFonts w:hint="eastAsia"/>
        </w:rPr>
        <w:fldChar w:fldCharType="end"/>
      </w:r>
      <w:r>
        <w:rPr>
          <w:rFonts w:hint="eastAsia" w:ascii="ＭＳ Ｐゴシック" w:hAnsi="ＭＳ Ｐゴシック" w:eastAsia="ＭＳ Ｐゴシック"/>
          <w:b w:val="0"/>
        </w:rPr>
        <w:t>　対象施設一覧</w:t>
      </w:r>
    </w:p>
    <w:tbl>
      <w:tblPr>
        <w:tblStyle w:val="57"/>
        <w:tblW w:w="8640" w:type="dxa"/>
        <w:tblInd w:w="279" w:type="dxa"/>
        <w:tblLayout w:type="fixed"/>
        <w:tblLook w:firstRow="1" w:lastRow="0" w:firstColumn="1" w:lastColumn="0" w:noHBand="0" w:noVBand="1" w:val="04A0"/>
      </w:tblPr>
      <w:tblGrid>
        <w:gridCol w:w="1329"/>
        <w:gridCol w:w="512"/>
        <w:gridCol w:w="1700"/>
        <w:gridCol w:w="1841"/>
        <w:gridCol w:w="3258"/>
      </w:tblGrid>
      <w:tr>
        <w:trPr/>
        <w:tc>
          <w:tcPr>
            <w:tcW w:w="1331"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bookmarkStart w:id="5" w:name="_Hlk53401987"/>
            <w:r>
              <w:rPr>
                <w:rFonts w:hint="eastAsia" w:ascii="ＭＳ Ｐゴシック" w:hAnsi="ＭＳ Ｐゴシック" w:eastAsia="ＭＳ Ｐゴシック"/>
                <w:sz w:val="18"/>
              </w:rPr>
              <w:t>学校種別</w:t>
            </w:r>
            <w:bookmarkEnd w:id="5"/>
          </w:p>
        </w:tc>
        <w:tc>
          <w:tcPr>
            <w:tcW w:w="2213" w:type="dxa"/>
            <w:gridSpan w:val="2"/>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施設名</w:t>
            </w:r>
          </w:p>
        </w:tc>
        <w:tc>
          <w:tcPr>
            <w:tcW w:w="1842"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住所</w:t>
            </w:r>
          </w:p>
        </w:tc>
        <w:tc>
          <w:tcPr>
            <w:tcW w:w="3261"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備考</w:t>
            </w:r>
          </w:p>
        </w:tc>
      </w:tr>
      <w:tr>
        <w:trPr/>
        <w:tc>
          <w:tcPr>
            <w:tcW w:w="1331" w:type="dxa"/>
            <w:vMerge w:val="restart"/>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小学校</w:t>
            </w: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尾崎小学校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尾崎町</w:t>
            </w:r>
            <w:r>
              <w:rPr>
                <w:rFonts w:hint="default" w:ascii="ＭＳ Ｐゴシック" w:hAnsi="ＭＳ Ｐゴシック" w:eastAsia="ＭＳ Ｐゴシック"/>
                <w:sz w:val="18"/>
              </w:rPr>
              <w:t>5-33-8</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H25</w:t>
            </w:r>
            <w:r>
              <w:rPr>
                <w:rFonts w:hint="eastAsia" w:ascii="ＭＳ Ｐゴシック" w:hAnsi="ＭＳ Ｐゴシック" w:eastAsia="ＭＳ Ｐゴシック"/>
                <w:sz w:val="18"/>
              </w:rPr>
              <w:t>年</w:t>
            </w:r>
            <w:r>
              <w:rPr>
                <w:rFonts w:hint="eastAsia" w:ascii="ＭＳ Ｐゴシック" w:hAnsi="ＭＳ Ｐゴシック" w:eastAsia="ＭＳ Ｐゴシック"/>
                <w:sz w:val="18"/>
              </w:rPr>
              <w:t>4</w:t>
            </w:r>
            <w:r>
              <w:rPr>
                <w:rFonts w:hint="eastAsia" w:ascii="ＭＳ Ｐゴシック" w:hAnsi="ＭＳ Ｐゴシック" w:eastAsia="ＭＳ Ｐゴシック"/>
                <w:sz w:val="18"/>
              </w:rPr>
              <w:t>月統合（尾崎小と福島小）</w:t>
            </w: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2</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西鳥取小学校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鳥取</w:t>
            </w:r>
            <w:r>
              <w:rPr>
                <w:rFonts w:hint="default" w:ascii="ＭＳ Ｐゴシック" w:hAnsi="ＭＳ Ｐゴシック" w:eastAsia="ＭＳ Ｐゴシック"/>
                <w:sz w:val="18"/>
              </w:rPr>
              <w:t>72</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下荘小学校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箱作</w:t>
            </w:r>
            <w:r>
              <w:rPr>
                <w:rFonts w:hint="default" w:ascii="ＭＳ Ｐゴシック" w:hAnsi="ＭＳ Ｐゴシック" w:eastAsia="ＭＳ Ｐゴシック"/>
                <w:sz w:val="18"/>
              </w:rPr>
              <w:t>2320</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H2</w:t>
            </w:r>
            <w:r>
              <w:rPr>
                <w:rFonts w:hint="default" w:ascii="ＭＳ Ｐゴシック" w:hAnsi="ＭＳ Ｐゴシック" w:eastAsia="ＭＳ Ｐゴシック"/>
                <w:sz w:val="18"/>
              </w:rPr>
              <w:t>8</w:t>
            </w:r>
            <w:r>
              <w:rPr>
                <w:rFonts w:hint="eastAsia" w:ascii="ＭＳ Ｐゴシック" w:hAnsi="ＭＳ Ｐゴシック" w:eastAsia="ＭＳ Ｐゴシック"/>
                <w:sz w:val="18"/>
              </w:rPr>
              <w:t>年</w:t>
            </w:r>
            <w:r>
              <w:rPr>
                <w:rFonts w:hint="eastAsia" w:ascii="ＭＳ Ｐゴシック" w:hAnsi="ＭＳ Ｐゴシック" w:eastAsia="ＭＳ Ｐゴシック"/>
                <w:sz w:val="18"/>
              </w:rPr>
              <w:t>4</w:t>
            </w:r>
            <w:r>
              <w:rPr>
                <w:rFonts w:hint="eastAsia" w:ascii="ＭＳ Ｐゴシック" w:hAnsi="ＭＳ Ｐゴシック" w:eastAsia="ＭＳ Ｐゴシック"/>
                <w:sz w:val="18"/>
              </w:rPr>
              <w:t>月統合（下荘小と箱作小）</w:t>
            </w: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4</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東鳥取小学校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石田</w:t>
            </w:r>
            <w:r>
              <w:rPr>
                <w:rFonts w:hint="default" w:ascii="ＭＳ Ｐゴシック" w:hAnsi="ＭＳ Ｐゴシック" w:eastAsia="ＭＳ Ｐゴシック"/>
                <w:sz w:val="18"/>
              </w:rPr>
              <w:t>600-1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H2</w:t>
            </w:r>
            <w:r>
              <w:rPr>
                <w:rFonts w:hint="default" w:ascii="ＭＳ Ｐゴシック" w:hAnsi="ＭＳ Ｐゴシック" w:eastAsia="ＭＳ Ｐゴシック"/>
                <w:sz w:val="18"/>
              </w:rPr>
              <w:t>9</w:t>
            </w:r>
            <w:r>
              <w:rPr>
                <w:rFonts w:hint="eastAsia" w:ascii="ＭＳ Ｐゴシック" w:hAnsi="ＭＳ Ｐゴシック" w:eastAsia="ＭＳ Ｐゴシック"/>
                <w:sz w:val="18"/>
              </w:rPr>
              <w:t>年</w:t>
            </w:r>
            <w:r>
              <w:rPr>
                <w:rFonts w:hint="eastAsia" w:ascii="ＭＳ Ｐゴシック" w:hAnsi="ＭＳ Ｐゴシック" w:eastAsia="ＭＳ Ｐゴシック"/>
                <w:sz w:val="18"/>
              </w:rPr>
              <w:t>4</w:t>
            </w:r>
            <w:r>
              <w:rPr>
                <w:rFonts w:hint="eastAsia" w:ascii="ＭＳ Ｐゴシック" w:hAnsi="ＭＳ Ｐゴシック" w:eastAsia="ＭＳ Ｐゴシック"/>
                <w:sz w:val="18"/>
              </w:rPr>
              <w:t>月統合（東鳥取小と波太小）</w:t>
            </w: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5</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舞小学校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舞</w:t>
            </w:r>
            <w:r>
              <w:rPr>
                <w:rFonts w:hint="default" w:ascii="ＭＳ Ｐゴシック" w:hAnsi="ＭＳ Ｐゴシック" w:eastAsia="ＭＳ Ｐゴシック"/>
                <w:sz w:val="18"/>
              </w:rPr>
              <w:t>4-6-31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6</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朝日小学校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自然田</w:t>
            </w:r>
            <w:r>
              <w:rPr>
                <w:rFonts w:hint="default" w:ascii="ＭＳ Ｐゴシック" w:hAnsi="ＭＳ Ｐゴシック" w:eastAsia="ＭＳ Ｐゴシック"/>
                <w:sz w:val="18"/>
              </w:rPr>
              <w:t>272-1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H2</w:t>
            </w:r>
            <w:r>
              <w:rPr>
                <w:rFonts w:hint="default" w:ascii="ＭＳ Ｐゴシック" w:hAnsi="ＭＳ Ｐゴシック" w:eastAsia="ＭＳ Ｐゴシック"/>
                <w:sz w:val="18"/>
              </w:rPr>
              <w:t>8</w:t>
            </w:r>
            <w:r>
              <w:rPr>
                <w:rFonts w:hint="eastAsia" w:ascii="ＭＳ Ｐゴシック" w:hAnsi="ＭＳ Ｐゴシック" w:eastAsia="ＭＳ Ｐゴシック"/>
                <w:sz w:val="18"/>
              </w:rPr>
              <w:t>年</w:t>
            </w:r>
            <w:r>
              <w:rPr>
                <w:rFonts w:hint="eastAsia" w:ascii="ＭＳ Ｐゴシック" w:hAnsi="ＭＳ Ｐゴシック" w:eastAsia="ＭＳ Ｐゴシック"/>
                <w:sz w:val="18"/>
              </w:rPr>
              <w:t>4</w:t>
            </w:r>
            <w:r>
              <w:rPr>
                <w:rFonts w:hint="eastAsia" w:ascii="ＭＳ Ｐゴシック" w:hAnsi="ＭＳ Ｐゴシック" w:eastAsia="ＭＳ Ｐゴシック"/>
                <w:sz w:val="18"/>
              </w:rPr>
              <w:t>月閉校（山中分校）</w:t>
            </w: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上荘小学校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下出</w:t>
            </w:r>
            <w:r>
              <w:rPr>
                <w:rFonts w:hint="default" w:ascii="ＭＳ Ｐゴシック" w:hAnsi="ＭＳ Ｐゴシック" w:eastAsia="ＭＳ Ｐゴシック"/>
                <w:sz w:val="18"/>
              </w:rPr>
              <w:t>548-1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1"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8</w:t>
            </w:r>
          </w:p>
        </w:tc>
        <w:tc>
          <w:tcPr>
            <w:tcW w:w="1701" w:type="dxa"/>
            <w:shd w:val="clear" w:color="auto" w:themeFill="accent1"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桃の木台小学校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桃の木台</w:t>
            </w:r>
            <w:r>
              <w:rPr>
                <w:rFonts w:hint="default" w:ascii="ＭＳ Ｐゴシック" w:hAnsi="ＭＳ Ｐゴシック" w:eastAsia="ＭＳ Ｐゴシック"/>
                <w:sz w:val="18"/>
              </w:rPr>
              <w:t>5-423-33</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中学校</w:t>
            </w:r>
          </w:p>
        </w:tc>
        <w:tc>
          <w:tcPr>
            <w:tcW w:w="512" w:type="dxa"/>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1701" w:type="dxa"/>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鳥取中学校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黒田</w:t>
            </w:r>
            <w:r>
              <w:rPr>
                <w:rFonts w:hint="default" w:ascii="ＭＳ Ｐゴシック" w:hAnsi="ＭＳ Ｐゴシック" w:eastAsia="ＭＳ Ｐゴシック"/>
                <w:sz w:val="18"/>
              </w:rPr>
              <w:t>341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R2</w:t>
            </w:r>
            <w:r>
              <w:rPr>
                <w:rFonts w:hint="eastAsia" w:ascii="ＭＳ Ｐゴシック" w:hAnsi="ＭＳ Ｐゴシック" w:eastAsia="ＭＳ Ｐゴシック"/>
                <w:sz w:val="18"/>
              </w:rPr>
              <w:t>年</w:t>
            </w:r>
            <w:r>
              <w:rPr>
                <w:rFonts w:hint="eastAsia" w:ascii="ＭＳ Ｐゴシック" w:hAnsi="ＭＳ Ｐゴシック" w:eastAsia="ＭＳ Ｐゴシック"/>
                <w:sz w:val="18"/>
              </w:rPr>
              <w:t>4</w:t>
            </w:r>
            <w:r>
              <w:rPr>
                <w:rFonts w:hint="eastAsia" w:ascii="ＭＳ Ｐゴシック" w:hAnsi="ＭＳ Ｐゴシック" w:eastAsia="ＭＳ Ｐゴシック"/>
                <w:sz w:val="18"/>
              </w:rPr>
              <w:t>月統合（尾崎中と鳥取中）</w:t>
            </w:r>
          </w:p>
        </w:tc>
      </w:tr>
      <w:tr>
        <w:trPr/>
        <w:tc>
          <w:tcPr>
            <w:tcW w:w="1331"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p>
        </w:tc>
        <w:tc>
          <w:tcPr>
            <w:tcW w:w="1701" w:type="dxa"/>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貝掛中学校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貝掛</w:t>
            </w:r>
            <w:r>
              <w:rPr>
                <w:rFonts w:hint="default" w:ascii="ＭＳ Ｐゴシック" w:hAnsi="ＭＳ Ｐゴシック" w:eastAsia="ＭＳ Ｐゴシック"/>
                <w:sz w:val="18"/>
              </w:rPr>
              <w:t>1372</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p>
        </w:tc>
        <w:tc>
          <w:tcPr>
            <w:tcW w:w="1701" w:type="dxa"/>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鳥取東中学校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和泉鳥取</w:t>
            </w:r>
            <w:r>
              <w:rPr>
                <w:rFonts w:hint="default" w:ascii="ＭＳ Ｐゴシック" w:hAnsi="ＭＳ Ｐゴシック" w:eastAsia="ＭＳ Ｐゴシック"/>
                <w:sz w:val="18"/>
              </w:rPr>
              <w:t>1455</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4</w:t>
            </w:r>
          </w:p>
        </w:tc>
        <w:tc>
          <w:tcPr>
            <w:tcW w:w="1701" w:type="dxa"/>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飯の峯中学校</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桃の木台</w:t>
            </w:r>
            <w:r>
              <w:rPr>
                <w:rFonts w:hint="default" w:ascii="ＭＳ Ｐゴシック" w:hAnsi="ＭＳ Ｐゴシック" w:eastAsia="ＭＳ Ｐゴシック"/>
                <w:sz w:val="18"/>
              </w:rPr>
              <w:t>3-9-1</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幼稚園</w:t>
            </w:r>
          </w:p>
        </w:tc>
        <w:tc>
          <w:tcPr>
            <w:tcW w:w="512" w:type="dxa"/>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1701" w:type="dxa"/>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はあとり幼稚園</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石田</w:t>
            </w:r>
            <w:r>
              <w:rPr>
                <w:rFonts w:hint="default" w:ascii="ＭＳ Ｐゴシック" w:hAnsi="ＭＳ Ｐゴシック" w:eastAsia="ＭＳ Ｐゴシック"/>
                <w:sz w:val="18"/>
              </w:rPr>
              <w:t>578</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vMerge w:val="continue"/>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512" w:type="dxa"/>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p>
        </w:tc>
        <w:tc>
          <w:tcPr>
            <w:tcW w:w="1701" w:type="dxa"/>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まい幼稚園</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舞</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w:t>
            </w:r>
            <w:r>
              <w:rPr>
                <w:rFonts w:hint="eastAsia" w:ascii="ＭＳ Ｐゴシック" w:hAnsi="ＭＳ Ｐゴシック" w:eastAsia="ＭＳ Ｐゴシック"/>
                <w:sz w:val="18"/>
              </w:rPr>
              <w:t>6</w:t>
            </w:r>
            <w:r>
              <w:rPr>
                <w:rFonts w:hint="default" w:ascii="ＭＳ Ｐゴシック" w:hAnsi="ＭＳ Ｐゴシック" w:eastAsia="ＭＳ Ｐゴシック"/>
                <w:sz w:val="18"/>
              </w:rPr>
              <w:t>-14</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r>
        <w:trPr/>
        <w:tc>
          <w:tcPr>
            <w:tcW w:w="1331" w:type="dxa"/>
            <w:shd w:val="clear" w:color="auto" w:themeFill="accent6"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学校給食施設</w:t>
            </w:r>
          </w:p>
        </w:tc>
        <w:tc>
          <w:tcPr>
            <w:tcW w:w="512" w:type="dxa"/>
            <w:shd w:val="clear" w:color="auto" w:themeFill="accent6"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1701" w:type="dxa"/>
            <w:shd w:val="clear" w:color="auto" w:themeFill="accent6"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学校給食センター</w:t>
            </w:r>
          </w:p>
        </w:tc>
        <w:tc>
          <w:tcPr>
            <w:tcW w:w="1842" w:type="dxa"/>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箱作</w:t>
            </w:r>
            <w:r>
              <w:rPr>
                <w:rFonts w:hint="default" w:ascii="ＭＳ Ｐゴシック" w:hAnsi="ＭＳ Ｐゴシック" w:eastAsia="ＭＳ Ｐゴシック"/>
                <w:sz w:val="18"/>
              </w:rPr>
              <w:t>2316</w:t>
            </w:r>
          </w:p>
        </w:tc>
        <w:tc>
          <w:tcPr>
            <w:tcW w:w="3261" w:type="dxa"/>
            <w:vAlign w:val="center"/>
          </w:tcPr>
          <w:p>
            <w:pPr>
              <w:pStyle w:val="49"/>
              <w:ind w:left="0" w:leftChars="0" w:firstLine="0" w:firstLineChars="0"/>
              <w:jc w:val="both"/>
              <w:rPr>
                <w:rFonts w:hint="default" w:ascii="ＭＳ Ｐゴシック" w:hAnsi="ＭＳ Ｐゴシック" w:eastAsia="ＭＳ Ｐゴシック"/>
                <w:sz w:val="18"/>
              </w:rPr>
            </w:pPr>
          </w:p>
        </w:tc>
      </w:tr>
    </w:tbl>
    <w:p>
      <w:pPr>
        <w:pStyle w:val="49"/>
        <w:ind w:left="100" w:firstLine="200"/>
        <w:jc w:val="both"/>
        <w:rPr>
          <w:rFonts w:hint="default"/>
        </w:rPr>
      </w:pPr>
    </w:p>
    <w:p>
      <w:pPr>
        <w:pStyle w:val="49"/>
        <w:ind w:left="100" w:firstLine="200"/>
        <w:jc w:val="both"/>
        <w:rPr>
          <w:rFonts w:hint="default"/>
        </w:rPr>
      </w:pPr>
    </w:p>
    <w:p>
      <w:pPr>
        <w:pStyle w:val="49"/>
        <w:ind w:left="100" w:firstLine="200"/>
        <w:jc w:val="both"/>
        <w:rPr>
          <w:rFonts w:hint="default"/>
        </w:rPr>
      </w:pPr>
    </w:p>
    <w:p>
      <w:pPr>
        <w:pStyle w:val="0"/>
        <w:widowControl w:val="1"/>
        <w:jc w:val="left"/>
        <w:rPr>
          <w:rFonts w:hint="default"/>
        </w:rPr>
      </w:pPr>
      <w:r>
        <w:rPr>
          <w:rFonts w:hint="default"/>
        </w:rPr>
        <w:br w:type="page"/>
      </w:r>
    </w:p>
    <w:p>
      <w:pPr>
        <w:pStyle w:val="3"/>
        <w:rPr>
          <w:rFonts w:hint="default"/>
        </w:rPr>
      </w:pPr>
      <w:r>
        <w:rPr>
          <w:rFonts w:hint="eastAsia"/>
        </w:rPr>
        <w:t>対象施設の対象棟</w:t>
      </w:r>
    </w:p>
    <w:p>
      <w:pPr>
        <w:pStyle w:val="49"/>
        <w:ind w:left="200" w:leftChars="100" w:firstLine="0" w:firstLineChars="0"/>
        <w:jc w:val="both"/>
        <w:rPr>
          <w:rFonts w:hint="default"/>
        </w:rPr>
      </w:pPr>
      <w:r>
        <w:rPr>
          <w:rFonts w:hint="eastAsia"/>
        </w:rPr>
        <w:t>　各対象施設における対象となる棟（校舎、屋内運動場、付属室等）は、以下の赤枠囲みで示す建物です。</w:t>
      </w:r>
    </w:p>
    <w:p>
      <w:pPr>
        <w:pStyle w:val="49"/>
        <w:ind w:left="200" w:leftChars="100" w:firstLine="0" w:firstLineChars="0"/>
        <w:jc w:val="both"/>
        <w:rPr>
          <w:rFonts w:hint="default"/>
        </w:rPr>
      </w:pPr>
    </w:p>
    <w:p>
      <w:pPr>
        <w:pStyle w:val="49"/>
        <w:numPr>
          <w:ilvl w:val="0"/>
          <w:numId w:val="3"/>
        </w:numPr>
        <w:ind w:leftChars="0" w:firstLineChars="0"/>
        <w:jc w:val="both"/>
        <w:rPr>
          <w:rFonts w:hint="default"/>
        </w:rPr>
      </w:pPr>
      <w:r>
        <w:rPr>
          <w:rFonts w:hint="eastAsia"/>
        </w:rPr>
        <w:t xml:space="preserve"> </w:t>
      </w:r>
      <w:r>
        <w:rPr>
          <w:rFonts w:hint="eastAsia"/>
        </w:rPr>
        <w:t>小学校</w:t>
      </w:r>
    </w:p>
    <w:p>
      <w:pPr>
        <w:pStyle w:val="49"/>
        <w:ind w:left="510"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bookmarkStart w:id="6" w:name="_Hlk53062329"/>
            <w:r>
              <w:rPr>
                <w:rFonts w:hint="default" w:ascii="ＭＳ Ｐゴシック" w:hAnsi="ＭＳ Ｐゴシック" w:eastAsia="ＭＳ Ｐゴシック"/>
                <w:sz w:val="18"/>
              </w:rPr>
              <w:drawing>
                <wp:inline distT="0" distB="0" distL="0" distR="0">
                  <wp:extent cx="5069840" cy="3319145"/>
                  <wp:effectExtent l="0" t="0" r="0" b="0"/>
                  <wp:docPr id="1026" name="図 3"/>
                  <a:graphic xmlns:a="http://schemas.openxmlformats.org/drawingml/2006/main">
                    <a:graphicData uri="http://schemas.openxmlformats.org/drawingml/2006/picture">
                      <pic:pic xmlns:pic="http://schemas.openxmlformats.org/drawingml/2006/picture">
                        <pic:nvPicPr>
                          <pic:cNvPr id="1026" name="図 3"/>
                          <pic:cNvPicPr>
                            <a:picLocks noChangeAspect="1" noChangeArrowheads="1"/>
                          </pic:cNvPicPr>
                        </pic:nvPicPr>
                        <pic:blipFill>
                          <a:blip r:embed="rId9"/>
                          <a:stretch>
                            <a:fillRect/>
                          </a:stretch>
                        </pic:blipFill>
                        <pic:spPr>
                          <a:xfrm>
                            <a:off x="0" y="0"/>
                            <a:ext cx="5069840" cy="3319145"/>
                          </a:xfrm>
                          <a:prstGeom prst="rect">
                            <a:avLst/>
                          </a:prstGeom>
                          <a:noFill/>
                          <a:ln>
                            <a:noFill/>
                          </a:ln>
                        </pic:spPr>
                      </pic:pic>
                    </a:graphicData>
                  </a:graphic>
                </wp:inline>
              </w:drawing>
            </w:r>
            <w:bookmarkEnd w:id="6"/>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bookmarkStart w:id="7" w:name="_Ref53466587"/>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w:t>
            </w:r>
            <w:r>
              <w:rPr>
                <w:rFonts w:hint="eastAsia"/>
              </w:rPr>
              <w:fldChar w:fldCharType="end"/>
            </w:r>
            <w:bookmarkEnd w:id="7"/>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-1</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1</w:t>
            </w:r>
            <w:r>
              <w:rPr>
                <w:rFonts w:hint="eastAsia" w:ascii="ＭＳ Ｐゴシック" w:hAnsi="ＭＳ Ｐゴシック" w:eastAsia="ＭＳ Ｐゴシック"/>
              </w:rPr>
              <w:t>．尾崎小学校）</w:t>
            </w:r>
          </w:p>
        </w:tc>
      </w:tr>
    </w:tbl>
    <w:p>
      <w:pPr>
        <w:pStyle w:val="49"/>
        <w:ind w:left="200" w:leftChars="100" w:firstLine="20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69840" cy="3319145"/>
                  <wp:effectExtent l="0" t="0" r="0" b="0"/>
                  <wp:docPr id="1027" name="図 7"/>
                  <a:graphic xmlns:a="http://schemas.openxmlformats.org/drawingml/2006/main">
                    <a:graphicData uri="http://schemas.openxmlformats.org/drawingml/2006/picture">
                      <pic:pic xmlns:pic="http://schemas.openxmlformats.org/drawingml/2006/picture">
                        <pic:nvPicPr>
                          <pic:cNvPr id="1027" name="図 7"/>
                          <pic:cNvPicPr>
                            <a:picLocks noChangeAspect="1" noChangeArrowheads="1"/>
                          </pic:cNvPicPr>
                        </pic:nvPicPr>
                        <pic:blipFill>
                          <a:blip r:embed="rId10"/>
                          <a:stretch>
                            <a:fillRect/>
                          </a:stretch>
                        </pic:blipFill>
                        <pic:spPr>
                          <a:xfrm>
                            <a:off x="0" y="0"/>
                            <a:ext cx="506984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-2</w:t>
            </w:r>
            <w:r>
              <w:rPr>
                <w:rFonts w:hint="eastAsia" w:ascii="ＭＳ Ｐゴシック" w:hAnsi="ＭＳ Ｐゴシック" w:eastAsia="ＭＳ Ｐゴシック"/>
              </w:rPr>
              <w:t>）　対象施設の対象等配置図（</w:t>
            </w:r>
            <w:r>
              <w:rPr>
                <w:rFonts w:hint="default" w:ascii="ＭＳ Ｐゴシック" w:hAnsi="ＭＳ Ｐゴシック" w:eastAsia="ＭＳ Ｐゴシック"/>
              </w:rPr>
              <w:t>2</w:t>
            </w:r>
            <w:r>
              <w:rPr>
                <w:rFonts w:hint="eastAsia" w:ascii="ＭＳ Ｐゴシック" w:hAnsi="ＭＳ Ｐゴシック" w:eastAsia="ＭＳ Ｐゴシック"/>
              </w:rPr>
              <w:t>．西鳥取小学校）</w:t>
            </w:r>
          </w:p>
        </w:tc>
      </w:tr>
    </w:tbl>
    <w:p>
      <w:pPr>
        <w:pStyle w:val="0"/>
        <w:widowControl w:val="1"/>
        <w:jc w:val="left"/>
        <w:rPr>
          <w:rFonts w:hint="default"/>
        </w:rPr>
      </w:pPr>
    </w:p>
    <w:p>
      <w:pPr>
        <w:pStyle w:val="49"/>
        <w:ind w:left="113" w:leftChars="0" w:firstLine="0" w:firstLineChars="0"/>
        <w:jc w:val="both"/>
        <w:rPr>
          <w:rFonts w:hint="default"/>
        </w:rPr>
      </w:pPr>
    </w:p>
    <w:p>
      <w:pPr>
        <w:pStyle w:val="49"/>
        <w:ind w:left="113"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67300" cy="3319145"/>
                  <wp:effectExtent l="0" t="0" r="0" b="0"/>
                  <wp:docPr id="1028" name="図 15"/>
                  <a:graphic xmlns:a="http://schemas.openxmlformats.org/drawingml/2006/main">
                    <a:graphicData uri="http://schemas.openxmlformats.org/drawingml/2006/picture">
                      <pic:pic xmlns:pic="http://schemas.openxmlformats.org/drawingml/2006/picture">
                        <pic:nvPicPr>
                          <pic:cNvPr id="1028" name="図 15"/>
                          <pic:cNvPicPr>
                            <a:picLocks noChangeAspect="1" noChangeArrowheads="1"/>
                          </pic:cNvPicPr>
                        </pic:nvPicPr>
                        <pic:blipFill>
                          <a:blip r:embed="rId11"/>
                          <a:stretch>
                            <a:fillRect/>
                          </a:stretch>
                        </pic:blipFill>
                        <pic:spPr>
                          <a:xfrm>
                            <a:off x="0" y="0"/>
                            <a:ext cx="506730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-3</w:t>
            </w:r>
            <w:r>
              <w:rPr>
                <w:rFonts w:hint="eastAsia" w:ascii="ＭＳ Ｐゴシック" w:hAnsi="ＭＳ Ｐゴシック" w:eastAsia="ＭＳ Ｐゴシック"/>
              </w:rPr>
              <w:t>）　対象施設の対象等配置図（</w:t>
            </w:r>
            <w:r>
              <w:rPr>
                <w:rFonts w:hint="default" w:ascii="ＭＳ Ｐゴシック" w:hAnsi="ＭＳ Ｐゴシック" w:eastAsia="ＭＳ Ｐゴシック"/>
              </w:rPr>
              <w:t>3</w:t>
            </w:r>
            <w:r>
              <w:rPr>
                <w:rFonts w:hint="eastAsia" w:ascii="ＭＳ Ｐゴシック" w:hAnsi="ＭＳ Ｐゴシック" w:eastAsia="ＭＳ Ｐゴシック"/>
              </w:rPr>
              <w:t>．下荘小学校）</w:t>
            </w:r>
          </w:p>
        </w:tc>
      </w:tr>
    </w:tbl>
    <w:p>
      <w:pPr>
        <w:pStyle w:val="49"/>
        <w:ind w:left="200" w:leftChars="100" w:firstLine="20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67300" cy="3319145"/>
                  <wp:effectExtent l="0" t="0" r="0" b="0"/>
                  <wp:docPr id="1029" name="図 17"/>
                  <a:graphic xmlns:a="http://schemas.openxmlformats.org/drawingml/2006/main">
                    <a:graphicData uri="http://schemas.openxmlformats.org/drawingml/2006/picture">
                      <pic:pic xmlns:pic="http://schemas.openxmlformats.org/drawingml/2006/picture">
                        <pic:nvPicPr>
                          <pic:cNvPr id="1029" name="図 17"/>
                          <pic:cNvPicPr>
                            <a:picLocks noChangeAspect="1" noChangeArrowheads="1"/>
                          </pic:cNvPicPr>
                        </pic:nvPicPr>
                        <pic:blipFill>
                          <a:blip r:embed="rId12"/>
                          <a:stretch>
                            <a:fillRect/>
                          </a:stretch>
                        </pic:blipFill>
                        <pic:spPr>
                          <a:xfrm>
                            <a:off x="0" y="0"/>
                            <a:ext cx="506730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-4</w:t>
            </w:r>
            <w:r>
              <w:rPr>
                <w:rFonts w:hint="eastAsia" w:ascii="ＭＳ Ｐゴシック" w:hAnsi="ＭＳ Ｐゴシック" w:eastAsia="ＭＳ Ｐゴシック"/>
              </w:rPr>
              <w:t>）　対象施設の対象等配置図（</w:t>
            </w:r>
            <w:r>
              <w:rPr>
                <w:rFonts w:hint="default" w:ascii="ＭＳ Ｐゴシック" w:hAnsi="ＭＳ Ｐゴシック" w:eastAsia="ＭＳ Ｐゴシック"/>
              </w:rPr>
              <w:t>4</w:t>
            </w:r>
            <w:r>
              <w:rPr>
                <w:rFonts w:hint="eastAsia" w:ascii="ＭＳ Ｐゴシック" w:hAnsi="ＭＳ Ｐゴシック" w:eastAsia="ＭＳ Ｐゴシック"/>
              </w:rPr>
              <w:t>．東鳥取小学校）</w:t>
            </w:r>
          </w:p>
        </w:tc>
      </w:tr>
    </w:tbl>
    <w:p>
      <w:pPr>
        <w:pStyle w:val="0"/>
        <w:widowControl w:val="1"/>
        <w:jc w:val="left"/>
        <w:rPr>
          <w:rFonts w:hint="default"/>
        </w:rPr>
      </w:pPr>
    </w:p>
    <w:p>
      <w:pPr>
        <w:pStyle w:val="0"/>
        <w:widowControl w:val="1"/>
        <w:jc w:val="left"/>
        <w:rPr>
          <w:rFonts w:hint="default"/>
        </w:rPr>
      </w:pPr>
      <w:r>
        <w:rPr>
          <w:rFonts w:hint="default"/>
        </w:rPr>
        <w:br w:type="page"/>
      </w:r>
    </w:p>
    <w:p>
      <w:pPr>
        <w:pStyle w:val="0"/>
        <w:widowControl w:val="1"/>
        <w:jc w:val="left"/>
        <w:rPr>
          <w:rFonts w:hint="default"/>
        </w:rPr>
      </w:pPr>
    </w:p>
    <w:p>
      <w:pPr>
        <w:pStyle w:val="49"/>
        <w:ind w:left="113"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55870" cy="3319145"/>
                  <wp:effectExtent l="0" t="0" r="0" b="0"/>
                  <wp:docPr id="1030" name="図 19"/>
                  <a:graphic xmlns:a="http://schemas.openxmlformats.org/drawingml/2006/main">
                    <a:graphicData uri="http://schemas.openxmlformats.org/drawingml/2006/picture">
                      <pic:pic xmlns:pic="http://schemas.openxmlformats.org/drawingml/2006/picture">
                        <pic:nvPicPr>
                          <pic:cNvPr id="1030" name="図 19"/>
                          <pic:cNvPicPr>
                            <a:picLocks noChangeAspect="1" noChangeArrowheads="1"/>
                          </pic:cNvPicPr>
                        </pic:nvPicPr>
                        <pic:blipFill>
                          <a:blip r:embed="rId13"/>
                          <a:stretch>
                            <a:fillRect/>
                          </a:stretch>
                        </pic:blipFill>
                        <pic:spPr>
                          <a:xfrm>
                            <a:off x="0" y="0"/>
                            <a:ext cx="505587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-5</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5</w:t>
            </w:r>
            <w:r>
              <w:rPr>
                <w:rFonts w:hint="eastAsia" w:ascii="ＭＳ Ｐゴシック" w:hAnsi="ＭＳ Ｐゴシック" w:eastAsia="ＭＳ Ｐゴシック"/>
              </w:rPr>
              <w:t>．舞小学校）</w:t>
            </w:r>
          </w:p>
        </w:tc>
      </w:tr>
    </w:tbl>
    <w:p>
      <w:pPr>
        <w:pStyle w:val="49"/>
        <w:ind w:left="200" w:leftChars="100" w:firstLine="20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4949190" cy="3648075"/>
                  <wp:effectExtent l="0" t="0" r="0" b="0"/>
                  <wp:docPr id="1031" name="図 232" descr="ダイアグラム&#10;&#10;自動的に生成された説明"/>
                  <a:graphic xmlns:a="http://schemas.openxmlformats.org/drawingml/2006/main">
                    <a:graphicData uri="http://schemas.openxmlformats.org/drawingml/2006/picture">
                      <pic:pic xmlns:pic="http://schemas.openxmlformats.org/drawingml/2006/picture">
                        <pic:nvPicPr>
                          <pic:cNvPr id="1031" name="図 232" descr="ダイアグラム&#10;&#10;自動的に生成された説明"/>
                          <pic:cNvPicPr/>
                        </pic:nvPicPr>
                        <pic:blipFill>
                          <a:blip r:embed="rId14"/>
                          <a:stretch>
                            <a:fillRect/>
                          </a:stretch>
                        </pic:blipFill>
                        <pic:spPr>
                          <a:xfrm>
                            <a:off x="0" y="0"/>
                            <a:ext cx="4949190" cy="3648075"/>
                          </a:xfrm>
                          <a:prstGeom prst="rect">
                            <a:avLst/>
                          </a:prstGeom>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-6</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6</w:t>
            </w:r>
            <w:r>
              <w:rPr>
                <w:rFonts w:hint="eastAsia" w:ascii="ＭＳ Ｐゴシック" w:hAnsi="ＭＳ Ｐゴシック" w:eastAsia="ＭＳ Ｐゴシック"/>
              </w:rPr>
              <w:t>．朝日小学校）</w:t>
            </w:r>
          </w:p>
        </w:tc>
      </w:tr>
    </w:tbl>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br w:type="page"/>
      </w:r>
    </w:p>
    <w:p>
      <w:pPr>
        <w:pStyle w:val="49"/>
        <w:ind w:left="113" w:leftChars="0" w:firstLine="0" w:firstLineChars="0"/>
        <w:jc w:val="both"/>
        <w:rPr>
          <w:rFonts w:hint="default"/>
        </w:rPr>
      </w:pPr>
    </w:p>
    <w:p>
      <w:pPr>
        <w:pStyle w:val="49"/>
        <w:ind w:left="113"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73650" cy="3319145"/>
                  <wp:effectExtent l="0" t="0" r="0" b="0"/>
                  <wp:docPr id="1032" name="図 25"/>
                  <a:graphic xmlns:a="http://schemas.openxmlformats.org/drawingml/2006/main">
                    <a:graphicData uri="http://schemas.openxmlformats.org/drawingml/2006/picture">
                      <pic:pic xmlns:pic="http://schemas.openxmlformats.org/drawingml/2006/picture">
                        <pic:nvPicPr>
                          <pic:cNvPr id="1032" name="図 25"/>
                          <pic:cNvPicPr>
                            <a:picLocks noChangeAspect="1" noChangeArrowheads="1"/>
                          </pic:cNvPicPr>
                        </pic:nvPicPr>
                        <pic:blipFill>
                          <a:blip r:embed="rId15"/>
                          <a:stretch>
                            <a:fillRect/>
                          </a:stretch>
                        </pic:blipFill>
                        <pic:spPr>
                          <a:xfrm>
                            <a:off x="0" y="0"/>
                            <a:ext cx="507365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-7</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7</w:t>
            </w:r>
            <w:r>
              <w:rPr>
                <w:rFonts w:hint="eastAsia" w:ascii="ＭＳ Ｐゴシック" w:hAnsi="ＭＳ Ｐゴシック" w:eastAsia="ＭＳ Ｐゴシック"/>
              </w:rPr>
              <w:t>．上荘小学校）</w:t>
            </w:r>
          </w:p>
        </w:tc>
      </w:tr>
    </w:tbl>
    <w:p>
      <w:pPr>
        <w:pStyle w:val="49"/>
        <w:ind w:left="200" w:leftChars="100" w:firstLine="20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69840" cy="3319145"/>
                  <wp:effectExtent l="0" t="0" r="0" b="0"/>
                  <wp:docPr id="1033" name="図 27"/>
                  <a:graphic xmlns:a="http://schemas.openxmlformats.org/drawingml/2006/main">
                    <a:graphicData uri="http://schemas.openxmlformats.org/drawingml/2006/picture">
                      <pic:pic xmlns:pic="http://schemas.openxmlformats.org/drawingml/2006/picture">
                        <pic:nvPicPr>
                          <pic:cNvPr id="1033" name="図 27"/>
                          <pic:cNvPicPr>
                            <a:picLocks noChangeAspect="1" noChangeArrowheads="1"/>
                          </pic:cNvPicPr>
                        </pic:nvPicPr>
                        <pic:blipFill>
                          <a:blip r:embed="rId16"/>
                          <a:stretch>
                            <a:fillRect/>
                          </a:stretch>
                        </pic:blipFill>
                        <pic:spPr>
                          <a:xfrm>
                            <a:off x="0" y="0"/>
                            <a:ext cx="5069840" cy="3319145"/>
                          </a:xfrm>
                          <a:prstGeom prst="rect">
                            <a:avLst/>
                          </a:prstGeom>
                          <a:noFill/>
                          <a:ln>
                            <a:noFill/>
                          </a:ln>
                        </pic:spPr>
                      </pic:pic>
                    </a:graphicData>
                  </a:graphic>
                </wp:inline>
              </w:drawing>
            </w:r>
          </w:p>
        </w:tc>
      </w:tr>
      <w:tr>
        <w:trPr/>
        <w:tc>
          <w:tcPr>
            <w:tcW w:w="8211" w:type="dxa"/>
            <w:shd w:val="clear" w:color="auto" w:themeFill="accent1"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default" w:ascii="ＭＳ Ｐゴシック" w:hAnsi="ＭＳ Ｐゴシック" w:eastAsia="ＭＳ Ｐゴシック"/>
              </w:rPr>
              <w:t>-8</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7</w:t>
            </w:r>
            <w:r>
              <w:rPr>
                <w:rFonts w:hint="eastAsia" w:ascii="ＭＳ Ｐゴシック" w:hAnsi="ＭＳ Ｐゴシック" w:eastAsia="ＭＳ Ｐゴシック"/>
              </w:rPr>
              <w:t>．桃の木台小学校）</w:t>
            </w:r>
          </w:p>
        </w:tc>
      </w:tr>
    </w:tbl>
    <w:p>
      <w:pPr>
        <w:pStyle w:val="0"/>
        <w:widowControl w:val="1"/>
        <w:jc w:val="left"/>
        <w:rPr>
          <w:rFonts w:hint="default"/>
        </w:rPr>
      </w:pPr>
    </w:p>
    <w:p>
      <w:pPr>
        <w:pStyle w:val="49"/>
        <w:ind w:left="113" w:leftChars="0" w:firstLine="0" w:firstLineChars="0"/>
        <w:jc w:val="both"/>
        <w:rPr>
          <w:rFonts w:hint="default"/>
        </w:rPr>
      </w:pPr>
    </w:p>
    <w:p>
      <w:pPr>
        <w:pStyle w:val="0"/>
        <w:widowControl w:val="1"/>
        <w:jc w:val="left"/>
        <w:rPr>
          <w:rFonts w:hint="default"/>
        </w:rPr>
      </w:pPr>
      <w:r>
        <w:rPr>
          <w:rFonts w:hint="default"/>
        </w:rPr>
        <w:br w:type="page"/>
      </w:r>
    </w:p>
    <w:p>
      <w:pPr>
        <w:pStyle w:val="49"/>
        <w:numPr>
          <w:ilvl w:val="0"/>
          <w:numId w:val="3"/>
        </w:numPr>
        <w:ind w:leftChars="0" w:firstLineChars="0"/>
        <w:jc w:val="both"/>
        <w:rPr>
          <w:rFonts w:hint="default"/>
        </w:rPr>
      </w:pPr>
      <w:r>
        <w:rPr>
          <w:rFonts w:hint="eastAsia"/>
        </w:rPr>
        <w:t xml:space="preserve"> </w:t>
      </w:r>
      <w:r>
        <w:rPr>
          <w:rFonts w:hint="eastAsia"/>
        </w:rPr>
        <w:t>中学校</w:t>
      </w:r>
    </w:p>
    <w:p>
      <w:pPr>
        <w:pStyle w:val="49"/>
        <w:ind w:left="510"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4239260" cy="3319145"/>
                  <wp:effectExtent l="0" t="0" r="0" b="0"/>
                  <wp:docPr id="1034" name="図 11"/>
                  <a:graphic xmlns:a="http://schemas.openxmlformats.org/drawingml/2006/main">
                    <a:graphicData uri="http://schemas.openxmlformats.org/drawingml/2006/picture">
                      <pic:pic xmlns:pic="http://schemas.openxmlformats.org/drawingml/2006/picture">
                        <pic:nvPicPr>
                          <pic:cNvPr id="1034" name="図 11"/>
                          <pic:cNvPicPr>
                            <a:picLocks noChangeAspect="1" noChangeArrowheads="1"/>
                          </pic:cNvPicPr>
                        </pic:nvPicPr>
                        <pic:blipFill>
                          <a:blip r:embed="rId17"/>
                          <a:stretch>
                            <a:fillRect/>
                          </a:stretch>
                        </pic:blipFill>
                        <pic:spPr>
                          <a:xfrm>
                            <a:off x="0" y="0"/>
                            <a:ext cx="4239260" cy="3319145"/>
                          </a:xfrm>
                          <a:prstGeom prst="rect">
                            <a:avLst/>
                          </a:prstGeom>
                          <a:noFill/>
                          <a:ln>
                            <a:noFill/>
                          </a:ln>
                        </pic:spPr>
                      </pic:pic>
                    </a:graphicData>
                  </a:graphic>
                </wp:inline>
              </w:drawing>
            </w:r>
          </w:p>
        </w:tc>
      </w:tr>
      <w:tr>
        <w:trPr/>
        <w:tc>
          <w:tcPr>
            <w:tcW w:w="8211" w:type="dxa"/>
            <w:shd w:val="clear" w:color="auto" w:themeFill="accent2"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default" w:ascii="ＭＳ Ｐゴシック" w:hAnsi="ＭＳ Ｐゴシック" w:eastAsia="ＭＳ Ｐゴシック"/>
              </w:rPr>
              <w:t>-1</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1</w:t>
            </w:r>
            <w:r>
              <w:rPr>
                <w:rFonts w:hint="eastAsia" w:ascii="ＭＳ Ｐゴシック" w:hAnsi="ＭＳ Ｐゴシック" w:eastAsia="ＭＳ Ｐゴシック"/>
              </w:rPr>
              <w:t>．鳥取中学校）</w:t>
            </w:r>
          </w:p>
        </w:tc>
      </w:tr>
    </w:tbl>
    <w:p>
      <w:pPr>
        <w:pStyle w:val="49"/>
        <w:ind w:left="200" w:leftChars="100" w:firstLine="200"/>
        <w:jc w:val="both"/>
        <w:rPr>
          <w:rFonts w:hint="default"/>
        </w:rPr>
      </w:pPr>
    </w:p>
    <w:tbl>
      <w:tblPr>
        <w:tblStyle w:val="57"/>
        <w:tblW w:w="8226" w:type="dxa"/>
        <w:tblInd w:w="421" w:type="dxa"/>
        <w:tblLayout w:type="fixed"/>
        <w:tblLook w:firstRow="1" w:lastRow="0" w:firstColumn="1" w:lastColumn="0" w:noHBand="0" w:noVBand="1" w:val="04A0"/>
      </w:tblPr>
      <w:tblGrid>
        <w:gridCol w:w="8226"/>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85080" cy="3319145"/>
                  <wp:effectExtent l="0" t="0" r="0" b="0"/>
                  <wp:docPr id="1035" name="図 12"/>
                  <a:graphic xmlns:a="http://schemas.openxmlformats.org/drawingml/2006/main">
                    <a:graphicData uri="http://schemas.openxmlformats.org/drawingml/2006/picture">
                      <pic:pic xmlns:pic="http://schemas.openxmlformats.org/drawingml/2006/picture">
                        <pic:nvPicPr>
                          <pic:cNvPr id="1035" name="図 12"/>
                          <pic:cNvPicPr>
                            <a:picLocks noChangeAspect="1" noChangeArrowheads="1"/>
                          </pic:cNvPicPr>
                        </pic:nvPicPr>
                        <pic:blipFill>
                          <a:blip r:embed="rId18"/>
                          <a:stretch>
                            <a:fillRect/>
                          </a:stretch>
                        </pic:blipFill>
                        <pic:spPr>
                          <a:xfrm>
                            <a:off x="0" y="0"/>
                            <a:ext cx="5085080" cy="3319145"/>
                          </a:xfrm>
                          <a:prstGeom prst="rect">
                            <a:avLst/>
                          </a:prstGeom>
                          <a:noFill/>
                          <a:ln>
                            <a:noFill/>
                          </a:ln>
                        </pic:spPr>
                      </pic:pic>
                    </a:graphicData>
                  </a:graphic>
                </wp:inline>
              </w:drawing>
            </w:r>
          </w:p>
        </w:tc>
      </w:tr>
      <w:tr>
        <w:trPr/>
        <w:tc>
          <w:tcPr>
            <w:tcW w:w="8211" w:type="dxa"/>
            <w:shd w:val="clear" w:color="auto" w:themeFill="accent2"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default" w:ascii="ＭＳ Ｐゴシック" w:hAnsi="ＭＳ Ｐゴシック" w:eastAsia="ＭＳ Ｐゴシック"/>
              </w:rPr>
              <w:t>-2</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2</w:t>
            </w:r>
            <w:r>
              <w:rPr>
                <w:rFonts w:hint="eastAsia" w:ascii="ＭＳ Ｐゴシック" w:hAnsi="ＭＳ Ｐゴシック" w:eastAsia="ＭＳ Ｐゴシック"/>
              </w:rPr>
              <w:t>．貝掛中学校）</w:t>
            </w:r>
          </w:p>
        </w:tc>
      </w:tr>
    </w:tbl>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br w:type="page"/>
      </w:r>
    </w:p>
    <w:p>
      <w:pPr>
        <w:pStyle w:val="0"/>
        <w:widowControl w:val="1"/>
        <w:jc w:val="left"/>
        <w:rPr>
          <w:rFonts w:hint="default"/>
        </w:rPr>
      </w:pPr>
    </w:p>
    <w:p>
      <w:pPr>
        <w:pStyle w:val="49"/>
        <w:ind w:left="510"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65395" cy="3319145"/>
                  <wp:effectExtent l="0" t="0" r="0" b="0"/>
                  <wp:docPr id="1036" name="図 28"/>
                  <a:graphic xmlns:a="http://schemas.openxmlformats.org/drawingml/2006/main">
                    <a:graphicData uri="http://schemas.openxmlformats.org/drawingml/2006/picture">
                      <pic:pic xmlns:pic="http://schemas.openxmlformats.org/drawingml/2006/picture">
                        <pic:nvPicPr>
                          <pic:cNvPr id="1036" name="図 28"/>
                          <pic:cNvPicPr>
                            <a:picLocks noChangeAspect="1" noChangeArrowheads="1"/>
                          </pic:cNvPicPr>
                        </pic:nvPicPr>
                        <pic:blipFill>
                          <a:blip r:embed="rId19"/>
                          <a:stretch>
                            <a:fillRect/>
                          </a:stretch>
                        </pic:blipFill>
                        <pic:spPr>
                          <a:xfrm>
                            <a:off x="0" y="0"/>
                            <a:ext cx="5065395" cy="3319145"/>
                          </a:xfrm>
                          <a:prstGeom prst="rect">
                            <a:avLst/>
                          </a:prstGeom>
                          <a:noFill/>
                          <a:ln>
                            <a:noFill/>
                          </a:ln>
                        </pic:spPr>
                      </pic:pic>
                    </a:graphicData>
                  </a:graphic>
                </wp:inline>
              </w:drawing>
            </w:r>
          </w:p>
        </w:tc>
      </w:tr>
      <w:tr>
        <w:trPr/>
        <w:tc>
          <w:tcPr>
            <w:tcW w:w="8211" w:type="dxa"/>
            <w:shd w:val="clear" w:color="auto" w:themeFill="accent2"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default" w:ascii="ＭＳ Ｐゴシック" w:hAnsi="ＭＳ Ｐゴシック" w:eastAsia="ＭＳ Ｐゴシック"/>
              </w:rPr>
              <w:t>-3</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3</w:t>
            </w:r>
            <w:r>
              <w:rPr>
                <w:rFonts w:hint="eastAsia" w:ascii="ＭＳ Ｐゴシック" w:hAnsi="ＭＳ Ｐゴシック" w:eastAsia="ＭＳ Ｐゴシック"/>
              </w:rPr>
              <w:t>．鳥取東中学校）</w:t>
            </w:r>
          </w:p>
        </w:tc>
      </w:tr>
    </w:tbl>
    <w:p>
      <w:pPr>
        <w:pStyle w:val="49"/>
        <w:ind w:left="200" w:leftChars="100" w:firstLine="200"/>
        <w:jc w:val="both"/>
        <w:rPr>
          <w:rFonts w:hint="default"/>
        </w:rPr>
      </w:pPr>
    </w:p>
    <w:tbl>
      <w:tblPr>
        <w:tblStyle w:val="57"/>
        <w:tblW w:w="8226" w:type="dxa"/>
        <w:tblInd w:w="421" w:type="dxa"/>
        <w:tblLayout w:type="fixed"/>
        <w:tblLook w:firstRow="1" w:lastRow="0" w:firstColumn="1" w:lastColumn="0" w:noHBand="0" w:noVBand="1" w:val="04A0"/>
      </w:tblPr>
      <w:tblGrid>
        <w:gridCol w:w="8226"/>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81270" cy="3319145"/>
                  <wp:effectExtent l="0" t="0" r="0" b="0"/>
                  <wp:docPr id="1037" name="図 29"/>
                  <a:graphic xmlns:a="http://schemas.openxmlformats.org/drawingml/2006/main">
                    <a:graphicData uri="http://schemas.openxmlformats.org/drawingml/2006/picture">
                      <pic:pic xmlns:pic="http://schemas.openxmlformats.org/drawingml/2006/picture">
                        <pic:nvPicPr>
                          <pic:cNvPr id="1037" name="図 29"/>
                          <pic:cNvPicPr>
                            <a:picLocks noChangeAspect="1" noChangeArrowheads="1"/>
                          </pic:cNvPicPr>
                        </pic:nvPicPr>
                        <pic:blipFill>
                          <a:blip r:embed="rId20"/>
                          <a:stretch>
                            <a:fillRect/>
                          </a:stretch>
                        </pic:blipFill>
                        <pic:spPr>
                          <a:xfrm>
                            <a:off x="0" y="0"/>
                            <a:ext cx="5081270" cy="3319145"/>
                          </a:xfrm>
                          <a:prstGeom prst="rect">
                            <a:avLst/>
                          </a:prstGeom>
                          <a:noFill/>
                          <a:ln>
                            <a:noFill/>
                          </a:ln>
                        </pic:spPr>
                      </pic:pic>
                    </a:graphicData>
                  </a:graphic>
                </wp:inline>
              </w:drawing>
            </w:r>
          </w:p>
        </w:tc>
      </w:tr>
      <w:tr>
        <w:trPr/>
        <w:tc>
          <w:tcPr>
            <w:tcW w:w="8211" w:type="dxa"/>
            <w:shd w:val="clear" w:color="auto" w:themeFill="accent2"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default" w:ascii="ＭＳ Ｐゴシック" w:hAnsi="ＭＳ Ｐゴシック" w:eastAsia="ＭＳ Ｐゴシック"/>
              </w:rPr>
              <w:t>-4</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4</w:t>
            </w:r>
            <w:r>
              <w:rPr>
                <w:rFonts w:hint="eastAsia" w:ascii="ＭＳ Ｐゴシック" w:hAnsi="ＭＳ Ｐゴシック" w:eastAsia="ＭＳ Ｐゴシック"/>
              </w:rPr>
              <w:t>．飯の峯中学校）</w:t>
            </w:r>
          </w:p>
        </w:tc>
      </w:tr>
    </w:tbl>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br w:type="page"/>
      </w:r>
    </w:p>
    <w:p>
      <w:pPr>
        <w:pStyle w:val="49"/>
        <w:numPr>
          <w:ilvl w:val="0"/>
          <w:numId w:val="3"/>
        </w:numPr>
        <w:ind w:leftChars="0" w:firstLineChars="0"/>
        <w:jc w:val="both"/>
        <w:rPr>
          <w:rFonts w:hint="default"/>
        </w:rPr>
      </w:pPr>
      <w:r>
        <w:rPr>
          <w:rFonts w:hint="eastAsia"/>
        </w:rPr>
        <w:t xml:space="preserve"> </w:t>
      </w:r>
      <w:r>
        <w:rPr>
          <w:rFonts w:hint="eastAsia"/>
        </w:rPr>
        <w:t>幼稚園</w:t>
      </w:r>
    </w:p>
    <w:p>
      <w:pPr>
        <w:pStyle w:val="49"/>
        <w:ind w:left="510"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73015" cy="3319145"/>
                  <wp:effectExtent l="0" t="0" r="0" b="0"/>
                  <wp:docPr id="1038" name="図 30"/>
                  <a:graphic xmlns:a="http://schemas.openxmlformats.org/drawingml/2006/main">
                    <a:graphicData uri="http://schemas.openxmlformats.org/drawingml/2006/picture">
                      <pic:pic xmlns:pic="http://schemas.openxmlformats.org/drawingml/2006/picture">
                        <pic:nvPicPr>
                          <pic:cNvPr id="1038" name="図 30"/>
                          <pic:cNvPicPr>
                            <a:picLocks noChangeAspect="1" noChangeArrowheads="1"/>
                          </pic:cNvPicPr>
                        </pic:nvPicPr>
                        <pic:blipFill>
                          <a:blip r:embed="rId21"/>
                          <a:stretch>
                            <a:fillRect/>
                          </a:stretch>
                        </pic:blipFill>
                        <pic:spPr>
                          <a:xfrm>
                            <a:off x="0" y="0"/>
                            <a:ext cx="5073015" cy="3319145"/>
                          </a:xfrm>
                          <a:prstGeom prst="rect">
                            <a:avLst/>
                          </a:prstGeom>
                          <a:noFill/>
                          <a:ln>
                            <a:noFill/>
                          </a:ln>
                        </pic:spPr>
                      </pic:pic>
                    </a:graphicData>
                  </a:graphic>
                </wp:inline>
              </w:drawing>
            </w:r>
          </w:p>
        </w:tc>
      </w:tr>
      <w:tr>
        <w:trPr/>
        <w:tc>
          <w:tcPr>
            <w:tcW w:w="8211" w:type="dxa"/>
            <w:shd w:val="clear" w:color="auto" w:themeFill="accent4"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3</w:t>
            </w:r>
            <w:r>
              <w:rPr>
                <w:rFonts w:hint="default" w:ascii="ＭＳ Ｐゴシック" w:hAnsi="ＭＳ Ｐゴシック" w:eastAsia="ＭＳ Ｐゴシック"/>
              </w:rPr>
              <w:t>-1</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1</w:t>
            </w:r>
            <w:r>
              <w:rPr>
                <w:rFonts w:hint="eastAsia" w:ascii="ＭＳ Ｐゴシック" w:hAnsi="ＭＳ Ｐゴシック" w:eastAsia="ＭＳ Ｐゴシック"/>
              </w:rPr>
              <w:t>．はあとり幼稚園）</w:t>
            </w:r>
          </w:p>
        </w:tc>
      </w:tr>
    </w:tbl>
    <w:p>
      <w:pPr>
        <w:pStyle w:val="49"/>
        <w:ind w:left="200" w:leftChars="100" w:firstLine="20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076825" cy="3319145"/>
                  <wp:effectExtent l="0" t="0" r="0" b="0"/>
                  <wp:docPr id="1039" name="図 31"/>
                  <a:graphic xmlns:a="http://schemas.openxmlformats.org/drawingml/2006/main">
                    <a:graphicData uri="http://schemas.openxmlformats.org/drawingml/2006/picture">
                      <pic:pic xmlns:pic="http://schemas.openxmlformats.org/drawingml/2006/picture">
                        <pic:nvPicPr>
                          <pic:cNvPr id="1039" name="図 31"/>
                          <pic:cNvPicPr>
                            <a:picLocks noChangeAspect="1" noChangeArrowheads="1"/>
                          </pic:cNvPicPr>
                        </pic:nvPicPr>
                        <pic:blipFill>
                          <a:blip r:embed="rId22"/>
                          <a:stretch>
                            <a:fillRect/>
                          </a:stretch>
                        </pic:blipFill>
                        <pic:spPr>
                          <a:xfrm>
                            <a:off x="0" y="0"/>
                            <a:ext cx="5076825" cy="3319145"/>
                          </a:xfrm>
                          <a:prstGeom prst="rect">
                            <a:avLst/>
                          </a:prstGeom>
                          <a:noFill/>
                          <a:ln>
                            <a:noFill/>
                          </a:ln>
                        </pic:spPr>
                      </pic:pic>
                    </a:graphicData>
                  </a:graphic>
                </wp:inline>
              </w:drawing>
            </w:r>
          </w:p>
        </w:tc>
      </w:tr>
      <w:tr>
        <w:trPr/>
        <w:tc>
          <w:tcPr>
            <w:tcW w:w="8211" w:type="dxa"/>
            <w:shd w:val="clear" w:color="auto" w:themeFill="accent4"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3</w:t>
            </w:r>
            <w:r>
              <w:rPr>
                <w:rFonts w:hint="default" w:ascii="ＭＳ Ｐゴシック" w:hAnsi="ＭＳ Ｐゴシック" w:eastAsia="ＭＳ Ｐゴシック"/>
              </w:rPr>
              <w:t>-2</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2</w:t>
            </w:r>
            <w:r>
              <w:rPr>
                <w:rFonts w:hint="eastAsia" w:ascii="ＭＳ Ｐゴシック" w:hAnsi="ＭＳ Ｐゴシック" w:eastAsia="ＭＳ Ｐゴシック"/>
              </w:rPr>
              <w:t>．まい幼稚園）</w:t>
            </w:r>
          </w:p>
        </w:tc>
      </w:tr>
    </w:tbl>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r>
        <w:rPr>
          <w:rFonts w:hint="default"/>
        </w:rPr>
        <w:br w:type="page"/>
      </w:r>
    </w:p>
    <w:p>
      <w:pPr>
        <w:pStyle w:val="49"/>
        <w:numPr>
          <w:ilvl w:val="0"/>
          <w:numId w:val="3"/>
        </w:numPr>
        <w:ind w:leftChars="0" w:firstLineChars="0"/>
        <w:jc w:val="both"/>
        <w:rPr>
          <w:rFonts w:hint="default"/>
        </w:rPr>
      </w:pPr>
      <w:r>
        <w:rPr>
          <w:rFonts w:hint="eastAsia"/>
        </w:rPr>
        <w:t xml:space="preserve"> </w:t>
      </w:r>
      <w:r>
        <w:rPr>
          <w:rFonts w:hint="eastAsia"/>
        </w:rPr>
        <w:t>学校給食施設</w:t>
      </w:r>
    </w:p>
    <w:p>
      <w:pPr>
        <w:pStyle w:val="49"/>
        <w:ind w:left="510" w:leftChars="0" w:firstLine="0" w:firstLineChars="0"/>
        <w:jc w:val="both"/>
        <w:rPr>
          <w:rFonts w:hint="default"/>
        </w:rPr>
      </w:pPr>
    </w:p>
    <w:tbl>
      <w:tblPr>
        <w:tblStyle w:val="57"/>
        <w:tblW w:w="8211" w:type="dxa"/>
        <w:tblInd w:w="421" w:type="dxa"/>
        <w:tblLayout w:type="fixed"/>
        <w:tblLook w:firstRow="1" w:lastRow="0" w:firstColumn="1" w:lastColumn="0" w:noHBand="0" w:noVBand="1" w:val="04A0"/>
      </w:tblPr>
      <w:tblGrid>
        <w:gridCol w:w="8211"/>
      </w:tblGrid>
      <w:tr>
        <w:trPr>
          <w:trHeight w:val="4492" w:hRule="atLeast"/>
        </w:trPr>
        <w:tc>
          <w:tcPr>
            <w:tcW w:w="8211" w:type="dxa"/>
            <w:vAlign w:val="top"/>
          </w:tcPr>
          <w:p>
            <w:pPr>
              <w:pStyle w:val="49"/>
              <w:ind w:left="0" w:leftChars="0" w:firstLine="0" w:firstLineChars="0"/>
              <w:jc w:val="both"/>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4478655" cy="3319145"/>
                  <wp:effectExtent l="0" t="0" r="0" b="0"/>
                  <wp:docPr id="1040" name="図 256"/>
                  <a:graphic xmlns:a="http://schemas.openxmlformats.org/drawingml/2006/main">
                    <a:graphicData uri="http://schemas.openxmlformats.org/drawingml/2006/picture">
                      <pic:pic xmlns:pic="http://schemas.openxmlformats.org/drawingml/2006/picture">
                        <pic:nvPicPr>
                          <pic:cNvPr id="1040" name="図 256"/>
                          <pic:cNvPicPr>
                            <a:picLocks noChangeAspect="1" noChangeArrowheads="1"/>
                          </pic:cNvPicPr>
                        </pic:nvPicPr>
                        <pic:blipFill>
                          <a:blip r:embed="rId23"/>
                          <a:stretch>
                            <a:fillRect/>
                          </a:stretch>
                        </pic:blipFill>
                        <pic:spPr>
                          <a:xfrm>
                            <a:off x="0" y="0"/>
                            <a:ext cx="4478655" cy="3319145"/>
                          </a:xfrm>
                          <a:prstGeom prst="rect">
                            <a:avLst/>
                          </a:prstGeom>
                          <a:noFill/>
                          <a:ln>
                            <a:noFill/>
                          </a:ln>
                        </pic:spPr>
                      </pic:pic>
                    </a:graphicData>
                  </a:graphic>
                </wp:inline>
              </w:drawing>
            </w:r>
          </w:p>
        </w:tc>
      </w:tr>
      <w:tr>
        <w:trPr/>
        <w:tc>
          <w:tcPr>
            <w:tcW w:w="8211" w:type="dxa"/>
            <w:shd w:val="clear" w:color="auto" w:themeFill="accent6" w:themeFillTint="33" w:themeFillShade="FF"/>
            <w:vAlign w:val="top"/>
          </w:tcPr>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_Ref53466587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1</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4</w:t>
            </w:r>
            <w:r>
              <w:rPr>
                <w:rFonts w:hint="default" w:ascii="ＭＳ Ｐゴシック" w:hAnsi="ＭＳ Ｐゴシック" w:eastAsia="ＭＳ Ｐゴシック"/>
              </w:rPr>
              <w:t>-1</w:t>
            </w:r>
            <w:r>
              <w:rPr>
                <w:rFonts w:hint="eastAsia" w:ascii="ＭＳ Ｐゴシック" w:hAnsi="ＭＳ Ｐゴシック" w:eastAsia="ＭＳ Ｐゴシック"/>
              </w:rPr>
              <w:t>）　対象施設の対象等配置図（</w:t>
            </w:r>
            <w:r>
              <w:rPr>
                <w:rFonts w:hint="eastAsia" w:ascii="ＭＳ Ｐゴシック" w:hAnsi="ＭＳ Ｐゴシック" w:eastAsia="ＭＳ Ｐゴシック"/>
              </w:rPr>
              <w:t>1</w:t>
            </w:r>
            <w:r>
              <w:rPr>
                <w:rFonts w:hint="eastAsia" w:ascii="ＭＳ Ｐゴシック" w:hAnsi="ＭＳ Ｐゴシック" w:eastAsia="ＭＳ Ｐゴシック"/>
              </w:rPr>
              <w:t>．学校給食センター）</w:t>
            </w:r>
          </w:p>
        </w:tc>
      </w:tr>
    </w:tbl>
    <w:p>
      <w:pPr>
        <w:pStyle w:val="49"/>
        <w:ind w:left="200" w:leftChars="100" w:firstLine="200"/>
        <w:jc w:val="both"/>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asciiTheme="majorHAnsi" w:hAnsiTheme="majorHAnsi"/>
          <w:b w:val="1"/>
          <w:color w:val="000000" w:themeColor="text1"/>
          <w:sz w:val="32"/>
        </w:rPr>
      </w:pPr>
      <w:r>
        <w:rPr>
          <w:rFonts w:hint="default"/>
        </w:rPr>
        <w:br w:type="page"/>
      </w:r>
    </w:p>
    <w:p>
      <w:pPr>
        <w:pStyle w:val="1"/>
        <w:rPr>
          <w:rFonts w:hint="default"/>
        </w:rPr>
      </w:pPr>
      <w:r>
        <w:rPr>
          <w:rFonts w:hint="eastAsia"/>
        </w:rPr>
        <w:t>　</w:t>
      </w:r>
      <w:bookmarkStart w:id="8" w:name="_Toc73347184"/>
      <w:r>
        <w:rPr>
          <w:rFonts w:hint="eastAsia"/>
        </w:rPr>
        <w:t>学校施設の目指すべき姿</w:t>
      </w:r>
      <w:bookmarkEnd w:id="8"/>
    </w:p>
    <w:p>
      <w:pPr>
        <w:pStyle w:val="49"/>
        <w:ind w:left="0" w:leftChars="0" w:firstLine="0" w:firstLineChars="0"/>
        <w:jc w:val="both"/>
        <w:rPr>
          <w:rFonts w:hint="default"/>
        </w:rPr>
      </w:pPr>
    </w:p>
    <w:p>
      <w:pPr>
        <w:pStyle w:val="49"/>
        <w:ind w:left="0" w:leftChars="0" w:firstLine="0" w:firstLineChars="0"/>
        <w:jc w:val="both"/>
        <w:rPr>
          <w:rFonts w:hint="default"/>
        </w:rPr>
      </w:pPr>
      <w:r>
        <w:rPr>
          <w:rFonts w:hint="eastAsia"/>
        </w:rPr>
        <w:t>　「学校施設の目指すべき姿」の具体例として、文部科学省による『学校施設整備基本構想の在り方について（平成</w:t>
      </w:r>
      <w:r>
        <w:rPr>
          <w:rFonts w:hint="default"/>
        </w:rPr>
        <w:t>25</w:t>
      </w:r>
      <w:r>
        <w:rPr>
          <w:rFonts w:hint="default"/>
        </w:rPr>
        <w:t>年</w:t>
      </w:r>
      <w:r>
        <w:rPr>
          <w:rFonts w:hint="default"/>
        </w:rPr>
        <w:t>3</w:t>
      </w:r>
      <w:r>
        <w:rPr>
          <w:rFonts w:hint="default"/>
        </w:rPr>
        <w:t>月）』に掲載されている内容を以下に示します。</w:t>
      </w:r>
    </w:p>
    <w:p>
      <w:pPr>
        <w:pStyle w:val="49"/>
        <w:ind w:left="0" w:leftChars="0" w:firstLine="0" w:firstLineChars="0"/>
        <w:jc w:val="both"/>
        <w:rPr>
          <w:rFonts w:hint="default"/>
        </w:rPr>
      </w:pPr>
    </w:p>
    <w:p>
      <w:pPr>
        <w:pStyle w:val="33"/>
        <w:rPr>
          <w:rFonts w:hint="default"/>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2</w:t>
      </w:r>
      <w:r>
        <w:rPr>
          <w:rFonts w:hint="eastAsia"/>
        </w:rPr>
        <w:fldChar w:fldCharType="end"/>
      </w:r>
      <w:r>
        <w:rPr>
          <w:rFonts w:hint="eastAsia" w:ascii="ＭＳ Ｐゴシック" w:hAnsi="ＭＳ Ｐゴシック" w:eastAsia="ＭＳ Ｐゴシック"/>
          <w:b w:val="0"/>
        </w:rPr>
        <w:t>　学校施設の目指すべき姿（例）</w:t>
      </w:r>
    </w:p>
    <w:p>
      <w:pPr>
        <w:pStyle w:val="49"/>
        <w:snapToGrid w:val="0"/>
        <w:ind w:left="0" w:leftChars="0" w:firstLine="0" w:firstLineChars="0"/>
        <w:jc w:val="center"/>
        <w:rPr>
          <w:rFonts w:hint="default"/>
        </w:rPr>
      </w:pPr>
      <w:r>
        <w:rPr>
          <w:rFonts w:hint="default"/>
        </w:rPr>
        <w:drawing>
          <wp:inline distT="0" distB="0" distL="0" distR="0">
            <wp:extent cx="5909310" cy="6743700"/>
            <wp:effectExtent l="0" t="0" r="0" b="0"/>
            <wp:docPr id="1041" name="図 225"/>
            <a:graphic xmlns:a="http://schemas.openxmlformats.org/drawingml/2006/main">
              <a:graphicData uri="http://schemas.openxmlformats.org/drawingml/2006/picture">
                <pic:pic xmlns:pic="http://schemas.openxmlformats.org/drawingml/2006/picture">
                  <pic:nvPicPr>
                    <pic:cNvPr id="1041" name="図 225"/>
                    <pic:cNvPicPr>
                      <a:picLocks noChangeAspect="1" noChangeArrowheads="1"/>
                    </pic:cNvPicPr>
                  </pic:nvPicPr>
                  <pic:blipFill>
                    <a:blip r:embed="rId24"/>
                    <a:srcRect l="-136" r="-136"/>
                    <a:stretch>
                      <a:fillRect/>
                    </a:stretch>
                  </pic:blipFill>
                  <pic:spPr>
                    <a:xfrm>
                      <a:off x="0" y="0"/>
                      <a:ext cx="5909310" cy="6743700"/>
                    </a:xfrm>
                    <a:prstGeom prst="rect">
                      <a:avLst/>
                    </a:prstGeom>
                    <a:noFill/>
                    <a:ln>
                      <a:noFill/>
                    </a:ln>
                  </pic:spPr>
                </pic:pic>
              </a:graphicData>
            </a:graphic>
          </wp:inline>
        </w:drawing>
      </w:r>
    </w:p>
    <w:p>
      <w:pPr>
        <w:pStyle w:val="49"/>
        <w:snapToGrid w:val="0"/>
        <w:ind w:left="0" w:leftChars="0" w:right="100" w:rightChars="50" w:firstLine="200"/>
        <w:jc w:val="right"/>
        <w:rPr>
          <w:rFonts w:hint="default"/>
        </w:rPr>
      </w:pPr>
      <w:r>
        <w:rPr>
          <w:rFonts w:hint="eastAsia"/>
        </w:rPr>
        <w:t>出典：「学校施設整備基本構想の在り方について（</w:t>
      </w:r>
      <w:r>
        <w:rPr>
          <w:rFonts w:hint="default"/>
        </w:rPr>
        <w:t xml:space="preserve">H25 </w:t>
      </w:r>
      <w:r>
        <w:rPr>
          <w:rFonts w:hint="default"/>
        </w:rPr>
        <w:t>年</w:t>
      </w:r>
      <w:r>
        <w:rPr>
          <w:rFonts w:hint="default"/>
        </w:rPr>
        <w:t xml:space="preserve">3 </w:t>
      </w:r>
      <w:r>
        <w:rPr>
          <w:rFonts w:hint="default"/>
        </w:rPr>
        <w:t>月）」</w:t>
      </w:r>
      <w:r>
        <w:rPr>
          <w:rFonts w:hint="eastAsia"/>
        </w:rPr>
        <w:t>文部科学省</w:t>
      </w:r>
    </w:p>
    <w:p>
      <w:pPr>
        <w:pStyle w:val="49"/>
        <w:ind w:left="0" w:leftChars="0" w:right="100" w:rightChars="50" w:firstLine="200"/>
        <w:rPr>
          <w:rFonts w:hint="default"/>
        </w:rPr>
      </w:pPr>
      <w:r>
        <w:rPr>
          <w:rFonts w:hint="default"/>
        </w:rPr>
        <w:br w:type="page"/>
      </w:r>
    </w:p>
    <w:p>
      <w:pPr>
        <w:pStyle w:val="49"/>
        <w:ind w:left="0" w:leftChars="0" w:firstLine="0" w:firstLineChars="0"/>
        <w:jc w:val="both"/>
        <w:rPr>
          <w:rFonts w:hint="default"/>
        </w:rPr>
      </w:pPr>
    </w:p>
    <w:p>
      <w:pPr>
        <w:pStyle w:val="49"/>
        <w:ind w:left="0" w:leftChars="0" w:firstLine="0" w:firstLineChars="0"/>
        <w:jc w:val="both"/>
        <w:rPr>
          <w:rFonts w:hint="default"/>
        </w:rPr>
      </w:pPr>
      <w:r>
        <w:rPr>
          <w:rFonts w:hint="eastAsia"/>
        </w:rPr>
        <w:t>　これまでは、校舎などの耐震化を最優先課題に取り組んできましたが、今後は学校施設の長寿命化に向けて、老朽化対策や時代のニーズに対応した施設整備を進めていきます。</w:t>
      </w:r>
    </w:p>
    <w:p>
      <w:pPr>
        <w:pStyle w:val="49"/>
        <w:ind w:left="0" w:leftChars="0" w:firstLine="0" w:firstLineChars="0"/>
        <w:jc w:val="both"/>
        <w:rPr>
          <w:rFonts w:hint="default"/>
        </w:rPr>
      </w:pPr>
      <w:r>
        <w:rPr>
          <w:rFonts w:hint="eastAsia"/>
        </w:rPr>
        <w:t>　本市の小中学校施設の目指すべき姿は次のとおりです。</w:t>
      </w:r>
    </w:p>
    <w:p>
      <w:pPr>
        <w:pStyle w:val="49"/>
        <w:ind w:left="0" w:leftChars="0" w:firstLine="200"/>
        <w:jc w:val="both"/>
        <w:rPr>
          <w:rFonts w:hint="default"/>
        </w:rPr>
      </w:pPr>
    </w:p>
    <w:p>
      <w:pPr>
        <w:pStyle w:val="49"/>
        <w:ind w:left="0" w:leftChars="0" w:firstLine="200"/>
        <w:jc w:val="both"/>
        <w:rPr>
          <w:rFonts w:hint="default"/>
        </w:rPr>
      </w:pPr>
      <w:r>
        <w:rPr>
          <w:rFonts w:hint="eastAsia"/>
        </w:rPr>
        <w:t>①</w:t>
      </w:r>
      <w:r>
        <w:rPr>
          <w:rFonts w:hint="eastAsia"/>
        </w:rPr>
        <w:t xml:space="preserve"> </w:t>
      </w:r>
      <w:r>
        <w:rPr>
          <w:rFonts w:hint="eastAsia"/>
        </w:rPr>
        <w:t>安全・防災面</w:t>
      </w:r>
    </w:p>
    <w:p>
      <w:pPr>
        <w:pStyle w:val="49"/>
        <w:ind w:left="400" w:leftChars="200" w:firstLine="0" w:firstLineChars="0"/>
        <w:jc w:val="both"/>
        <w:rPr>
          <w:rFonts w:hint="default"/>
        </w:rPr>
      </w:pPr>
      <w:r>
        <w:rPr>
          <w:rFonts w:hint="eastAsia"/>
        </w:rPr>
        <w:t>・誰もが安全・安心に利用できる施設</w:t>
      </w:r>
    </w:p>
    <w:p>
      <w:pPr>
        <w:pStyle w:val="49"/>
        <w:ind w:left="400" w:leftChars="200" w:firstLine="0" w:firstLineChars="0"/>
        <w:jc w:val="both"/>
        <w:rPr>
          <w:rFonts w:hint="default"/>
        </w:rPr>
      </w:pPr>
      <w:r>
        <w:rPr>
          <w:rFonts w:hint="eastAsia"/>
        </w:rPr>
        <w:t>・災害時の拠点として機能する施設</w:t>
      </w:r>
    </w:p>
    <w:p>
      <w:pPr>
        <w:pStyle w:val="49"/>
        <w:ind w:left="0" w:leftChars="0" w:firstLine="200"/>
        <w:jc w:val="both"/>
        <w:rPr>
          <w:rFonts w:hint="default"/>
        </w:rPr>
      </w:pPr>
      <w:r>
        <w:rPr>
          <w:rFonts w:hint="eastAsia"/>
        </w:rPr>
        <w:t>②</w:t>
      </w:r>
      <w:r>
        <w:rPr>
          <w:rFonts w:hint="eastAsia"/>
        </w:rPr>
        <w:t xml:space="preserve"> </w:t>
      </w:r>
      <w:r>
        <w:rPr>
          <w:rFonts w:hint="eastAsia"/>
        </w:rPr>
        <w:t>学習・生活面</w:t>
      </w:r>
    </w:p>
    <w:p>
      <w:pPr>
        <w:pStyle w:val="49"/>
        <w:ind w:left="400" w:leftChars="200" w:firstLine="0" w:firstLineChars="0"/>
        <w:jc w:val="both"/>
        <w:rPr>
          <w:rFonts w:hint="default"/>
        </w:rPr>
      </w:pPr>
      <w:r>
        <w:rPr>
          <w:rFonts w:hint="eastAsia"/>
        </w:rPr>
        <w:t>・多様な学習への対応やきめ細かな指導ができる施設</w:t>
      </w:r>
    </w:p>
    <w:p>
      <w:pPr>
        <w:pStyle w:val="49"/>
        <w:ind w:left="400" w:leftChars="200" w:firstLine="0" w:firstLineChars="0"/>
        <w:jc w:val="both"/>
        <w:rPr>
          <w:rFonts w:hint="default"/>
        </w:rPr>
      </w:pPr>
      <w:r>
        <w:rPr>
          <w:rFonts w:hint="eastAsia"/>
        </w:rPr>
        <w:t>・誰もが快適に利用できる施設</w:t>
      </w:r>
    </w:p>
    <w:p>
      <w:pPr>
        <w:pStyle w:val="49"/>
        <w:ind w:left="400" w:leftChars="200" w:firstLine="0" w:firstLineChars="0"/>
        <w:jc w:val="both"/>
        <w:rPr>
          <w:rFonts w:hint="default"/>
        </w:rPr>
      </w:pPr>
      <w:r>
        <w:rPr>
          <w:rFonts w:hint="eastAsia"/>
        </w:rPr>
        <w:t>・省エネルギーに配慮した環境負荷の少ない施設</w:t>
      </w:r>
    </w:p>
    <w:p>
      <w:pPr>
        <w:pStyle w:val="49"/>
        <w:ind w:left="0" w:leftChars="0" w:firstLine="200"/>
        <w:jc w:val="both"/>
        <w:rPr>
          <w:rFonts w:hint="default"/>
        </w:rPr>
      </w:pPr>
      <w:r>
        <w:rPr>
          <w:rFonts w:hint="eastAsia"/>
        </w:rPr>
        <w:t>③</w:t>
      </w:r>
      <w:r>
        <w:rPr>
          <w:rFonts w:hint="eastAsia"/>
        </w:rPr>
        <w:t xml:space="preserve"> </w:t>
      </w:r>
      <w:r>
        <w:rPr>
          <w:rFonts w:hint="eastAsia"/>
        </w:rPr>
        <w:t>複合化・効率化</w:t>
      </w:r>
    </w:p>
    <w:p>
      <w:pPr>
        <w:pStyle w:val="49"/>
        <w:ind w:left="400" w:leftChars="200" w:firstLine="0" w:firstLineChars="0"/>
        <w:jc w:val="both"/>
        <w:rPr>
          <w:rFonts w:hint="default"/>
        </w:rPr>
      </w:pPr>
      <w:r>
        <w:rPr>
          <w:rFonts w:hint="eastAsia"/>
        </w:rPr>
        <w:t>・他の公共施設との複合化を視野に入れた地域に開かれた施設</w:t>
      </w:r>
    </w:p>
    <w:p>
      <w:pPr>
        <w:pStyle w:val="49"/>
        <w:ind w:left="0" w:leftChars="0" w:firstLine="200"/>
        <w:jc w:val="both"/>
        <w:rPr>
          <w:rFonts w:hint="default"/>
        </w:rPr>
      </w:pPr>
    </w:p>
    <w:p>
      <w:pPr>
        <w:pStyle w:val="49"/>
        <w:ind w:left="0" w:leftChars="0" w:firstLine="0" w:firstLineChars="0"/>
        <w:jc w:val="both"/>
        <w:rPr>
          <w:rFonts w:hint="default"/>
        </w:rPr>
      </w:pPr>
      <w:r>
        <w:rPr>
          <w:rFonts w:hint="eastAsia"/>
        </w:rPr>
        <w:t>【小中学校】　（総合管理計画より）</w:t>
      </w:r>
    </w:p>
    <w:p>
      <w:pPr>
        <w:pStyle w:val="49"/>
        <w:ind w:left="200" w:leftChars="100" w:firstLine="0" w:firstLineChars="0"/>
        <w:jc w:val="both"/>
        <w:rPr>
          <w:rFonts w:hint="default"/>
        </w:rPr>
      </w:pPr>
      <w:r>
        <w:rPr>
          <w:rFonts w:hint="eastAsia"/>
        </w:rPr>
        <w:t>　学校は、学校教育だけでなく、地域にとっても防災や連帯感の醸成の場として大変重要な施設であり、特に適正な管理が求められています。</w:t>
      </w:r>
    </w:p>
    <w:p>
      <w:pPr>
        <w:pStyle w:val="49"/>
        <w:ind w:left="200" w:leftChars="100" w:firstLine="0" w:firstLineChars="0"/>
        <w:jc w:val="both"/>
        <w:rPr>
          <w:rFonts w:hint="default"/>
        </w:rPr>
      </w:pPr>
      <w:r>
        <w:rPr>
          <w:rFonts w:hint="eastAsia"/>
        </w:rPr>
        <w:t>　整理統合後の学校については、計画的な予防保全を行うため、個別計画に基づき、予防保全による維持補修を行うとともに、光熱水費などのライフサイクルコストの低減や職員による施設点検を含め、大規模改修を実施するなど、施設の長寿命化を図ります。</w:t>
      </w:r>
    </w:p>
    <w:p>
      <w:pPr>
        <w:pStyle w:val="49"/>
        <w:ind w:left="200" w:leftChars="100" w:firstLine="0" w:firstLineChars="0"/>
        <w:jc w:val="both"/>
        <w:rPr>
          <w:rFonts w:hint="default"/>
        </w:rPr>
      </w:pPr>
      <w:r>
        <w:rPr>
          <w:rFonts w:hint="eastAsia"/>
        </w:rPr>
        <w:t>　施設の建替え時期や再配置の検討を行う際には、本市の人口減少に伴う児童生徒数の推移、教育環境等の状況及び学校の配置の状況を踏まえ、新築、未耐震施設等における施設の除却、複合化などの手法を検討しながら延床面積の縮減を含め、行政サービスが低下しないよう進めていきます。</w:t>
      </w:r>
    </w:p>
    <w:p>
      <w:pPr>
        <w:pStyle w:val="49"/>
        <w:ind w:left="200" w:leftChars="100" w:firstLine="0" w:firstLineChars="0"/>
        <w:jc w:val="both"/>
        <w:rPr>
          <w:rFonts w:hint="default"/>
        </w:rPr>
      </w:pPr>
      <w:r>
        <w:rPr>
          <w:rFonts w:hint="eastAsia"/>
        </w:rPr>
        <w:t>　今後の具体的な施設のあり方について、個別計画により検討･実施しますが、施設の建替え、大規模改修及び複合化等の検討を行う際には、市全体として保有する施設の総延床面積の削減目標を含め、人口動向やサービス内容等を考慮し、建替え、除却、複合化などの手法を検討しながら延床面積の縮減について、行政サービスが低下しないよう進めていきます。</w:t>
      </w:r>
    </w:p>
    <w:p>
      <w:pPr>
        <w:pStyle w:val="49"/>
        <w:ind w:left="200" w:leftChars="100" w:firstLine="0" w:firstLineChars="0"/>
        <w:jc w:val="both"/>
        <w:rPr>
          <w:rFonts w:hint="default"/>
        </w:rPr>
      </w:pPr>
    </w:p>
    <w:p>
      <w:pPr>
        <w:pStyle w:val="49"/>
        <w:ind w:left="0" w:leftChars="0" w:firstLine="0" w:firstLineChars="0"/>
        <w:jc w:val="both"/>
        <w:rPr>
          <w:rFonts w:hint="default"/>
        </w:rPr>
      </w:pPr>
      <w:r>
        <w:rPr>
          <w:rFonts w:hint="eastAsia"/>
        </w:rPr>
        <w:t>【幼稚園】　（阪南市子育て拠点再構築方針より）</w:t>
      </w:r>
    </w:p>
    <w:p>
      <w:pPr>
        <w:pStyle w:val="49"/>
        <w:ind w:left="200" w:leftChars="100" w:firstLine="0" w:firstLineChars="0"/>
        <w:jc w:val="both"/>
        <w:rPr>
          <w:rFonts w:hint="default"/>
        </w:rPr>
      </w:pPr>
      <w:r>
        <w:rPr>
          <w:rFonts w:hint="eastAsia"/>
        </w:rPr>
        <w:t>　幼稚園施設については、園児の減少や施設の老朽化が進むなか、令和元年度に阪南市子育て拠点再構築方針が策定されました。</w:t>
      </w:r>
    </w:p>
    <w:p>
      <w:pPr>
        <w:pStyle w:val="49"/>
        <w:ind w:left="200" w:leftChars="100" w:firstLine="0" w:firstLineChars="0"/>
        <w:jc w:val="both"/>
        <w:rPr>
          <w:rFonts w:hint="default"/>
        </w:rPr>
      </w:pPr>
      <w:r>
        <w:rPr>
          <w:rFonts w:hint="eastAsia"/>
        </w:rPr>
        <w:t>　子育て拠点の再構築にあたっては、持続可能な行財政運営の視点も考慮する必要があり、こうした現状や本市の特色を活かした教育・保育の継承・充実。これまでの公立・私立の園所が担ってきた役割を踏まえ、すべての子供の健やかな成長を支えるための環境整備を行うため、</w:t>
      </w:r>
    </w:p>
    <w:p>
      <w:pPr>
        <w:pStyle w:val="49"/>
        <w:ind w:left="200" w:leftChars="100" w:firstLine="200"/>
        <w:rPr>
          <w:rFonts w:hint="default"/>
        </w:rPr>
      </w:pPr>
      <w:r>
        <w:rPr>
          <w:rFonts w:hint="eastAsia"/>
        </w:rPr>
        <w:t>○</w:t>
      </w:r>
      <w:r>
        <w:rPr>
          <w:rFonts w:hint="eastAsia"/>
        </w:rPr>
        <w:t xml:space="preserve"> </w:t>
      </w:r>
      <w:r>
        <w:rPr>
          <w:rFonts w:hint="eastAsia"/>
        </w:rPr>
        <w:t>施設の安全性確保と老朽対策</w:t>
      </w:r>
    </w:p>
    <w:p>
      <w:pPr>
        <w:pStyle w:val="49"/>
        <w:ind w:left="200" w:leftChars="100" w:firstLine="200"/>
        <w:rPr>
          <w:rFonts w:hint="default"/>
        </w:rPr>
      </w:pPr>
      <w:r>
        <w:rPr>
          <w:rFonts w:hint="eastAsia"/>
        </w:rPr>
        <w:t>○</w:t>
      </w:r>
      <w:r>
        <w:rPr>
          <w:rFonts w:hint="eastAsia"/>
        </w:rPr>
        <w:t xml:space="preserve"> </w:t>
      </w:r>
      <w:r>
        <w:rPr>
          <w:rFonts w:hint="eastAsia"/>
        </w:rPr>
        <w:t>保護者が選べる選択肢</w:t>
      </w:r>
    </w:p>
    <w:p>
      <w:pPr>
        <w:pStyle w:val="49"/>
        <w:ind w:left="200" w:leftChars="100" w:firstLine="200"/>
        <w:rPr>
          <w:rFonts w:hint="default"/>
        </w:rPr>
      </w:pPr>
      <w:r>
        <w:rPr>
          <w:rFonts w:hint="eastAsia"/>
        </w:rPr>
        <w:t>○</w:t>
      </w:r>
      <w:r>
        <w:rPr>
          <w:rFonts w:hint="eastAsia"/>
        </w:rPr>
        <w:t xml:space="preserve"> </w:t>
      </w:r>
      <w:r>
        <w:rPr>
          <w:rFonts w:hint="eastAsia"/>
        </w:rPr>
        <w:t>就学前教育等の目標</w:t>
      </w:r>
    </w:p>
    <w:p>
      <w:pPr>
        <w:pStyle w:val="49"/>
        <w:ind w:left="200" w:leftChars="100" w:firstLine="200"/>
        <w:rPr>
          <w:rFonts w:hint="default"/>
        </w:rPr>
      </w:pPr>
      <w:r>
        <w:rPr>
          <w:rFonts w:hint="eastAsia"/>
        </w:rPr>
        <w:t>○</w:t>
      </w:r>
      <w:r>
        <w:rPr>
          <w:rFonts w:hint="eastAsia"/>
        </w:rPr>
        <w:t xml:space="preserve"> </w:t>
      </w:r>
      <w:r>
        <w:rPr>
          <w:rFonts w:hint="eastAsia"/>
        </w:rPr>
        <w:t>公民の役割分担</w:t>
      </w:r>
    </w:p>
    <w:p>
      <w:pPr>
        <w:pStyle w:val="49"/>
        <w:ind w:left="200" w:leftChars="100" w:firstLine="200"/>
        <w:rPr>
          <w:rFonts w:hint="default"/>
        </w:rPr>
      </w:pPr>
      <w:r>
        <w:rPr>
          <w:rFonts w:hint="eastAsia"/>
        </w:rPr>
        <w:t>○</w:t>
      </w:r>
      <w:r>
        <w:rPr>
          <w:rFonts w:hint="eastAsia"/>
        </w:rPr>
        <w:t xml:space="preserve"> </w:t>
      </w:r>
      <w:r>
        <w:rPr>
          <w:rFonts w:hint="eastAsia"/>
        </w:rPr>
        <w:t>持続可能性の確保</w:t>
      </w:r>
    </w:p>
    <w:p>
      <w:pPr>
        <w:pStyle w:val="49"/>
        <w:ind w:left="200" w:leftChars="100" w:firstLine="0" w:firstLineChars="0"/>
        <w:jc w:val="both"/>
        <w:rPr>
          <w:rFonts w:hint="default"/>
        </w:rPr>
      </w:pPr>
      <w:r>
        <w:rPr>
          <w:rFonts w:hint="eastAsia"/>
        </w:rPr>
        <w:t>の</w:t>
      </w:r>
      <w:r>
        <w:rPr>
          <w:rFonts w:hint="default"/>
        </w:rPr>
        <w:t>5</w:t>
      </w:r>
      <w:r>
        <w:rPr>
          <w:rFonts w:hint="default"/>
        </w:rPr>
        <w:t>つの方向性</w:t>
      </w:r>
      <w:r>
        <w:rPr>
          <w:rFonts w:hint="eastAsia"/>
        </w:rPr>
        <w:t>を</w:t>
      </w:r>
      <w:r>
        <w:rPr>
          <w:rFonts w:hint="default"/>
        </w:rPr>
        <w:t>示し再構築を進めています。</w:t>
      </w:r>
    </w:p>
    <w:p>
      <w:pPr>
        <w:pStyle w:val="49"/>
        <w:ind w:left="200" w:leftChars="100" w:firstLine="0" w:firstLineChars="0"/>
        <w:jc w:val="both"/>
        <w:rPr>
          <w:rFonts w:hint="default"/>
        </w:rPr>
      </w:pPr>
      <w:r>
        <w:rPr>
          <w:rFonts w:hint="eastAsia"/>
        </w:rPr>
        <w:t>　第１ステージとして、令和</w:t>
      </w:r>
      <w:r>
        <w:rPr>
          <w:rFonts w:hint="default"/>
        </w:rPr>
        <w:t>4</w:t>
      </w:r>
      <w:r>
        <w:rPr>
          <w:rFonts w:hint="default"/>
        </w:rPr>
        <w:t>年度の尾崎幼稚園と尾崎保育所の集約化及びはあとり幼稚園と朝日幼稚園</w:t>
      </w:r>
      <w:r>
        <w:rPr>
          <w:rFonts w:hint="eastAsia"/>
        </w:rPr>
        <w:t>の統合を進めます。</w:t>
      </w:r>
    </w:p>
    <w:p>
      <w:pPr>
        <w:pStyle w:val="49"/>
        <w:ind w:left="200" w:leftChars="100" w:firstLine="0" w:firstLineChars="0"/>
        <w:jc w:val="both"/>
        <w:rPr>
          <w:rFonts w:hint="default"/>
        </w:rPr>
      </w:pPr>
    </w:p>
    <w:p>
      <w:pPr>
        <w:pStyle w:val="49"/>
        <w:ind w:left="0" w:leftChars="0" w:firstLine="0" w:firstLineChars="0"/>
        <w:jc w:val="both"/>
        <w:rPr>
          <w:rFonts w:hint="default"/>
        </w:rPr>
      </w:pPr>
      <w:r>
        <w:rPr>
          <w:rFonts w:hint="eastAsia"/>
        </w:rPr>
        <w:t>【学校給食センター】　（総合管理計画より）</w:t>
      </w:r>
    </w:p>
    <w:p>
      <w:pPr>
        <w:pStyle w:val="49"/>
        <w:ind w:left="200" w:leftChars="100" w:firstLine="0" w:firstLineChars="0"/>
        <w:jc w:val="both"/>
        <w:rPr>
          <w:rFonts w:hint="default"/>
        </w:rPr>
      </w:pPr>
      <w:r>
        <w:rPr>
          <w:rFonts w:hint="eastAsia"/>
        </w:rPr>
        <w:t>　学校給食センターは、新耐震基準後に建設した施設ですが、今後も計画的な予防保全を行うため、個別計画に基づき、光熱水費などのライフサイクルコストの低減や職員による施設点検を含め、大規模改修を実施するなど、施設の長寿命化を図ります。</w:t>
      </w:r>
    </w:p>
    <w:p>
      <w:pPr>
        <w:pStyle w:val="49"/>
        <w:ind w:left="200" w:leftChars="100" w:firstLine="0" w:firstLineChars="0"/>
        <w:jc w:val="both"/>
        <w:rPr>
          <w:rFonts w:hint="default"/>
        </w:rPr>
      </w:pPr>
      <w:r>
        <w:rPr>
          <w:rFonts w:hint="eastAsia"/>
        </w:rPr>
        <w:t>　施設の建替え時期や再配置の検討を行う際には、本市の人口減少に伴う児童生徒数の推移、教育環境等の状況及び学校の配置、中学校給食センターの検討状況を踏まえ、新築、除却、複合化などの手法を検討しながら延床面積の縮減を含め、行政サービスが低下しないよう進めていきます。</w:t>
      </w:r>
    </w:p>
    <w:p>
      <w:pPr>
        <w:pStyle w:val="49"/>
        <w:ind w:left="200" w:leftChars="100" w:firstLine="0" w:firstLineChars="0"/>
        <w:jc w:val="both"/>
        <w:rPr>
          <w:rFonts w:hint="default"/>
        </w:rPr>
      </w:pPr>
      <w:r>
        <w:rPr>
          <w:rFonts w:hint="eastAsia"/>
        </w:rPr>
        <w:t>　将来的には、大規模改修時に他の公共施設（学校等）との複合化または中学校給食との統合、現在市内の中学校で導入しているデリバリー方式による給食サービスへの転換、他市との広域施設としての連携、ＰＰＰ／ＰＦＩ（官民連携）の手法も併せて検討することとします。</w:t>
      </w:r>
    </w:p>
    <w:p>
      <w:pPr>
        <w:pStyle w:val="49"/>
        <w:ind w:left="200" w:leftChars="100" w:firstLine="0" w:firstLineChars="0"/>
        <w:jc w:val="both"/>
        <w:rPr>
          <w:rFonts w:hint="default"/>
        </w:rPr>
      </w:pPr>
    </w:p>
    <w:p>
      <w:pPr>
        <w:pStyle w:val="49"/>
        <w:ind w:left="200" w:leftChars="100" w:firstLine="0" w:firstLineChars="0"/>
        <w:jc w:val="both"/>
        <w:rPr>
          <w:rFonts w:hint="default"/>
        </w:rPr>
      </w:pPr>
    </w:p>
    <w:p>
      <w:pPr>
        <w:pStyle w:val="0"/>
        <w:widowControl w:val="1"/>
        <w:jc w:val="left"/>
        <w:rPr>
          <w:rFonts w:hint="default" w:asciiTheme="majorHAnsi" w:hAnsiTheme="majorHAnsi"/>
          <w:b w:val="1"/>
          <w:color w:val="000000" w:themeColor="text1"/>
          <w:sz w:val="28"/>
        </w:rPr>
      </w:pPr>
      <w:r>
        <w:rPr>
          <w:rFonts w:hint="default"/>
        </w:rPr>
        <w:br w:type="page"/>
      </w:r>
    </w:p>
    <w:p>
      <w:pPr>
        <w:pStyle w:val="1"/>
        <w:rPr>
          <w:rFonts w:hint="default"/>
        </w:rPr>
      </w:pPr>
      <w:r>
        <w:rPr>
          <w:rFonts w:hint="eastAsia"/>
        </w:rPr>
        <w:t>　</w:t>
      </w:r>
      <w:bookmarkStart w:id="9" w:name="_Toc73347185"/>
      <w:r>
        <w:rPr>
          <w:rFonts w:hint="eastAsia"/>
        </w:rPr>
        <w:t>学校施設の実態</w:t>
      </w:r>
      <w:bookmarkEnd w:id="9"/>
    </w:p>
    <w:p>
      <w:pPr>
        <w:pStyle w:val="0"/>
        <w:ind w:left="100" w:leftChars="50" w:firstLine="200" w:firstLineChars="100"/>
        <w:rPr>
          <w:rFonts w:hint="default"/>
          <w:color w:val="000000" w:themeColor="text1"/>
        </w:rPr>
      </w:pPr>
    </w:p>
    <w:p>
      <w:pPr>
        <w:pStyle w:val="2"/>
        <w:rPr>
          <w:rFonts w:hint="default"/>
        </w:rPr>
      </w:pPr>
      <w:bookmarkStart w:id="10" w:name="_Toc73347186"/>
      <w:r>
        <w:rPr>
          <w:rFonts w:hint="eastAsia"/>
        </w:rPr>
        <w:t>学校施設の運営状況・活用状況等の実態</w:t>
      </w:r>
      <w:bookmarkEnd w:id="10"/>
    </w:p>
    <w:p>
      <w:pPr>
        <w:pStyle w:val="0"/>
        <w:rPr>
          <w:rFonts w:hint="default"/>
        </w:rPr>
      </w:pPr>
    </w:p>
    <w:p>
      <w:pPr>
        <w:pStyle w:val="3"/>
        <w:rPr>
          <w:rFonts w:hint="default"/>
        </w:rPr>
      </w:pPr>
      <w:r>
        <w:rPr>
          <w:rFonts w:hint="eastAsia"/>
        </w:rPr>
        <w:t>学校施設の保有状況</w:t>
      </w:r>
    </w:p>
    <w:p>
      <w:pPr>
        <w:pStyle w:val="49"/>
        <w:ind w:left="200" w:leftChars="100" w:firstLine="0" w:firstLineChars="0"/>
        <w:jc w:val="both"/>
        <w:rPr>
          <w:rFonts w:hint="default"/>
        </w:rPr>
      </w:pPr>
      <w:r>
        <w:rPr>
          <w:rFonts w:hint="eastAsia"/>
        </w:rPr>
        <w:t>　</w:t>
      </w:r>
      <w:bookmarkStart w:id="11" w:name="_Hlk67552999"/>
      <w:r>
        <w:rPr>
          <w:rFonts w:hint="eastAsia"/>
        </w:rPr>
        <w:t>本計画で対象とした学校施設（小学校</w:t>
      </w:r>
      <w:r>
        <w:rPr>
          <w:rFonts w:hint="eastAsia"/>
        </w:rPr>
        <w:t>8</w:t>
      </w:r>
      <w:r>
        <w:rPr>
          <w:rFonts w:hint="default"/>
        </w:rPr>
        <w:t>校、中学校</w:t>
      </w:r>
      <w:r>
        <w:rPr>
          <w:rFonts w:hint="eastAsia"/>
        </w:rPr>
        <w:t>4</w:t>
      </w:r>
      <w:r>
        <w:rPr>
          <w:rFonts w:hint="default"/>
        </w:rPr>
        <w:t>校、</w:t>
      </w:r>
      <w:r>
        <w:rPr>
          <w:rFonts w:hint="eastAsia"/>
        </w:rPr>
        <w:t>幼稚園</w:t>
      </w:r>
      <w:r>
        <w:rPr>
          <w:rFonts w:hint="eastAsia"/>
        </w:rPr>
        <w:t>2</w:t>
      </w:r>
      <w:r>
        <w:rPr>
          <w:rFonts w:hint="eastAsia"/>
        </w:rPr>
        <w:t>園、</w:t>
      </w:r>
      <w:r>
        <w:rPr>
          <w:rFonts w:hint="default"/>
        </w:rPr>
        <w:t>学校給食センター</w:t>
      </w:r>
      <w:r>
        <w:rPr>
          <w:rFonts w:hint="eastAsia"/>
        </w:rPr>
        <w:t>1</w:t>
      </w:r>
      <w:r>
        <w:rPr>
          <w:rFonts w:hint="default"/>
        </w:rPr>
        <w:t>施設</w:t>
      </w:r>
      <w:r>
        <w:rPr>
          <w:rFonts w:hint="eastAsia"/>
        </w:rPr>
        <w:t>）</w:t>
      </w:r>
      <w:r>
        <w:rPr>
          <w:rFonts w:hint="default"/>
        </w:rPr>
        <w:t>の対象建物は</w:t>
      </w:r>
      <w:r>
        <w:rPr>
          <w:rFonts w:hint="default"/>
        </w:rPr>
        <w:t>102</w:t>
      </w:r>
      <w:r>
        <w:rPr>
          <w:rFonts w:hint="default"/>
        </w:rPr>
        <w:t>棟で延床面積は約</w:t>
      </w:r>
      <w:r>
        <w:rPr>
          <w:rFonts w:hint="eastAsia"/>
        </w:rPr>
        <w:t>7</w:t>
      </w:r>
      <w:r>
        <w:rPr>
          <w:rFonts w:hint="default"/>
        </w:rPr>
        <w:t>.2</w:t>
      </w:r>
      <w:r>
        <w:rPr>
          <w:rFonts w:hint="default"/>
        </w:rPr>
        <w:t>万㎡となっています。</w:t>
      </w:r>
    </w:p>
    <w:p>
      <w:pPr>
        <w:pStyle w:val="49"/>
        <w:ind w:left="200" w:leftChars="100" w:firstLine="0" w:firstLineChars="0"/>
        <w:jc w:val="both"/>
        <w:rPr>
          <w:rFonts w:hint="default"/>
        </w:rPr>
      </w:pPr>
      <w:r>
        <w:rPr>
          <w:rFonts w:hint="eastAsia"/>
        </w:rPr>
        <w:t>　本市の学校施設を建築年度別に見ると、築</w:t>
      </w:r>
      <w:r>
        <w:rPr>
          <w:rFonts w:hint="eastAsia"/>
        </w:rPr>
        <w:t>3</w:t>
      </w:r>
      <w:r>
        <w:rPr>
          <w:rFonts w:hint="default"/>
        </w:rPr>
        <w:t>0</w:t>
      </w:r>
      <w:r>
        <w:rPr>
          <w:rFonts w:hint="eastAsia"/>
        </w:rPr>
        <w:t>年以上経過している建物が延床面積比で</w:t>
      </w:r>
      <w:r>
        <w:rPr>
          <w:rFonts w:hint="default"/>
        </w:rPr>
        <w:t>67</w:t>
      </w:r>
      <w:r>
        <w:rPr>
          <w:rFonts w:hint="default"/>
        </w:rPr>
        <w:t>％、施設（棟数）では全体の</w:t>
      </w:r>
      <w:r>
        <w:rPr>
          <w:rFonts w:hint="default"/>
        </w:rPr>
        <w:t>71</w:t>
      </w:r>
      <w:r>
        <w:rPr>
          <w:rFonts w:hint="default"/>
        </w:rPr>
        <w:t>％を占め、築</w:t>
      </w:r>
      <w:r>
        <w:rPr>
          <w:rFonts w:hint="eastAsia"/>
        </w:rPr>
        <w:t>2</w:t>
      </w:r>
      <w:r>
        <w:rPr>
          <w:rFonts w:hint="default"/>
        </w:rPr>
        <w:t>0</w:t>
      </w:r>
      <w:r>
        <w:rPr>
          <w:rFonts w:hint="default"/>
        </w:rPr>
        <w:t>年以上経過している建物は延べ床面積比で</w:t>
      </w:r>
      <w:r>
        <w:rPr>
          <w:rFonts w:hint="default"/>
        </w:rPr>
        <w:t>86</w:t>
      </w:r>
      <w:r>
        <w:rPr>
          <w:rFonts w:hint="default"/>
        </w:rPr>
        <w:t>％を占め、施設（棟数）で全体の</w:t>
      </w:r>
      <w:r>
        <w:rPr>
          <w:rFonts w:hint="eastAsia"/>
        </w:rPr>
        <w:t>8</w:t>
      </w:r>
      <w:r>
        <w:rPr>
          <w:rFonts w:hint="default"/>
        </w:rPr>
        <w:t>9</w:t>
      </w:r>
      <w:r>
        <w:rPr>
          <w:rFonts w:hint="default"/>
        </w:rPr>
        <w:t>％を占めています。</w:t>
      </w:r>
    </w:p>
    <w:p>
      <w:pPr>
        <w:pStyle w:val="49"/>
        <w:ind w:left="200" w:leftChars="100" w:firstLine="0" w:firstLineChars="0"/>
        <w:jc w:val="both"/>
        <w:rPr>
          <w:rFonts w:hint="default"/>
        </w:rPr>
      </w:pPr>
      <w:r>
        <w:rPr>
          <w:rFonts w:hint="eastAsia"/>
        </w:rPr>
        <w:t>　このことから、大規模な改修や改築の時期が同じ時期に重なり、多額の施設整備費が必要となることが危惧さます</w:t>
      </w:r>
      <w:bookmarkEnd w:id="11"/>
      <w:r>
        <w:rPr>
          <w:rFonts w:hint="eastAsia"/>
        </w:rPr>
        <w:t>。</w:t>
      </w:r>
    </w:p>
    <w:p>
      <w:pPr>
        <w:pStyle w:val="49"/>
        <w:ind w:left="200" w:leftChars="100" w:firstLine="0" w:firstLineChars="0"/>
        <w:jc w:val="both"/>
        <w:rPr>
          <w:rFonts w:hint="default"/>
        </w:rPr>
      </w:pPr>
    </w:p>
    <w:p>
      <w:pPr>
        <w:pStyle w:val="0"/>
        <w:jc w:val="center"/>
        <w:rPr>
          <w:rFonts w:hint="default"/>
        </w:rPr>
      </w:pPr>
      <w:r>
        <w:rPr>
          <w:rFonts w:hint="default"/>
        </w:rPr>
        <w:drawing>
          <wp:inline distT="0" distB="0" distL="0" distR="0">
            <wp:extent cx="5829300" cy="4375785"/>
            <wp:effectExtent l="0" t="0" r="0" b="0"/>
            <wp:docPr id="1042" name="Picture 1"/>
            <a:graphic xmlns:a="http://schemas.openxmlformats.org/drawingml/2006/main">
              <a:graphicData uri="http://schemas.openxmlformats.org/drawingml/2006/picture">
                <pic:pic xmlns:pic="http://schemas.openxmlformats.org/drawingml/2006/picture">
                  <pic:nvPicPr>
                    <pic:cNvPr id="1042" name="Picture 1"/>
                    <pic:cNvPicPr>
                      <a:picLocks noChangeAspect="1" noChangeArrowheads="1"/>
                    </pic:cNvPicPr>
                  </pic:nvPicPr>
                  <pic:blipFill>
                    <a:blip r:embed="rId25"/>
                    <a:stretch>
                      <a:fillRect/>
                    </a:stretch>
                  </pic:blipFill>
                  <pic:spPr>
                    <a:xfrm>
                      <a:off x="0" y="0"/>
                      <a:ext cx="5829300" cy="4375785"/>
                    </a:xfrm>
                    <a:prstGeom prst="rect">
                      <a:avLst/>
                    </a:prstGeom>
                    <a:noFill/>
                    <a:ln>
                      <a:noFill/>
                    </a:ln>
                  </pic:spPr>
                </pic:pic>
              </a:graphicData>
            </a:graphic>
          </wp:inline>
        </w:drawing>
      </w:r>
    </w:p>
    <w:p>
      <w:pPr>
        <w:pStyle w:val="34"/>
        <w:widowControl w:val="1"/>
        <w:numPr>
          <w:ilvl w:val="1"/>
          <w:numId w:val="4"/>
        </w:numPr>
        <w:ind w:left="1000" w:leftChars="500" w:firstLine="0"/>
        <w:jc w:val="left"/>
        <w:rPr>
          <w:rFonts w:hint="default"/>
          <w:color w:val="000000" w:themeColor="text1"/>
          <w:sz w:val="18"/>
        </w:rPr>
      </w:pPr>
      <w:r>
        <w:rPr>
          <w:rFonts w:hint="eastAsia"/>
          <w:color w:val="000000" w:themeColor="text1"/>
          <w:sz w:val="18"/>
        </w:rPr>
        <w:t>築年数算出の基準年：令和</w:t>
      </w:r>
      <w:r>
        <w:rPr>
          <w:rFonts w:hint="eastAsia"/>
          <w:color w:val="000000" w:themeColor="text1"/>
          <w:sz w:val="18"/>
        </w:rPr>
        <w:t>2</w:t>
      </w:r>
      <w:r>
        <w:rPr>
          <w:rFonts w:hint="eastAsia"/>
          <w:color w:val="000000" w:themeColor="text1"/>
          <w:sz w:val="18"/>
        </w:rPr>
        <w:t>年度</w:t>
      </w:r>
    </w:p>
    <w:p>
      <w:pPr>
        <w:pStyle w:val="33"/>
        <w:rPr>
          <w:rFonts w:hint="default" w:ascii="ＭＳ Ｐゴシック" w:hAnsi="ＭＳ Ｐゴシック" w:eastAsia="ＭＳ Ｐゴシック"/>
          <w:b w:val="0"/>
        </w:rPr>
      </w:pPr>
      <w:r>
        <w:rPr>
          <w:rFonts w:hint="default" w:ascii="ＭＳ Ｐゴシック" w:hAnsi="ＭＳ Ｐゴシック" w:eastAsia="ＭＳ Ｐゴシック"/>
          <w:b w:val="0"/>
        </w:rPr>
        <w:t>図</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図</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2</w:t>
      </w:r>
      <w:r>
        <w:rPr>
          <w:rFonts w:hint="eastAsia"/>
        </w:rPr>
        <w:fldChar w:fldCharType="end"/>
      </w:r>
      <w:r>
        <w:rPr>
          <w:rFonts w:hint="eastAsia" w:ascii="ＭＳ Ｐゴシック" w:hAnsi="ＭＳ Ｐゴシック" w:eastAsia="ＭＳ Ｐゴシック"/>
          <w:b w:val="0"/>
        </w:rPr>
        <w:t>　学校施設の築年別整備状況</w:t>
      </w:r>
    </w:p>
    <w:p>
      <w:pPr>
        <w:pStyle w:val="0"/>
        <w:ind w:left="100" w:leftChars="50" w:firstLine="200" w:firstLineChars="100"/>
        <w:rPr>
          <w:rFonts w:hint="default"/>
        </w:rPr>
      </w:pPr>
    </w:p>
    <w:p>
      <w:pPr>
        <w:pStyle w:val="0"/>
        <w:ind w:left="100" w:leftChars="50" w:firstLine="200" w:firstLineChars="100"/>
        <w:rPr>
          <w:rFonts w:hint="default"/>
        </w:rPr>
      </w:pPr>
    </w:p>
    <w:p>
      <w:pPr>
        <w:pStyle w:val="0"/>
        <w:widowControl w:val="1"/>
        <w:jc w:val="left"/>
        <w:rPr>
          <w:rFonts w:hint="default"/>
          <w:sz w:val="24"/>
        </w:rPr>
      </w:pPr>
      <w:bookmarkStart w:id="12" w:name="_Ref9603724"/>
    </w:p>
    <w:p>
      <w:pPr>
        <w:pStyle w:val="3"/>
        <w:rPr>
          <w:rFonts w:hint="default"/>
        </w:rPr>
      </w:pPr>
      <w:r>
        <w:rPr>
          <w:rFonts w:hint="eastAsia"/>
        </w:rPr>
        <w:t>現在の児童数・生徒数・園児数</w:t>
      </w:r>
    </w:p>
    <w:p>
      <w:pPr>
        <w:pStyle w:val="34"/>
        <w:numPr>
          <w:ilvl w:val="0"/>
          <w:numId w:val="5"/>
        </w:numPr>
        <w:ind w:left="100" w:leftChars="50" w:firstLine="0"/>
        <w:rPr>
          <w:rFonts w:hint="default"/>
          <w:b w:val="1"/>
        </w:rPr>
      </w:pPr>
      <w:r>
        <w:rPr>
          <w:rFonts w:hint="eastAsia"/>
          <w:b w:val="1"/>
        </w:rPr>
        <w:t>小学校</w:t>
      </w:r>
    </w:p>
    <w:p>
      <w:pPr>
        <w:pStyle w:val="49"/>
        <w:ind w:left="200" w:leftChars="100" w:firstLine="0" w:firstLineChars="0"/>
        <w:jc w:val="both"/>
        <w:rPr>
          <w:rFonts w:hint="default"/>
        </w:rPr>
      </w:pPr>
      <w:r>
        <w:rPr>
          <w:rFonts w:hint="eastAsia"/>
        </w:rPr>
        <w:t>　本市の令和</w:t>
      </w:r>
      <w:r>
        <w:rPr>
          <w:rFonts w:hint="eastAsia"/>
        </w:rPr>
        <w:t>2</w:t>
      </w:r>
      <w:r>
        <w:rPr>
          <w:rFonts w:hint="eastAsia"/>
        </w:rPr>
        <w:t>年（</w:t>
      </w:r>
      <w:r>
        <w:rPr>
          <w:rFonts w:hint="eastAsia"/>
        </w:rPr>
        <w:t>2</w:t>
      </w:r>
      <w:r>
        <w:rPr>
          <w:rFonts w:hint="default"/>
        </w:rPr>
        <w:t>020</w:t>
      </w:r>
      <w:r>
        <w:rPr>
          <w:rFonts w:hint="eastAsia"/>
        </w:rPr>
        <w:t>年）</w:t>
      </w:r>
      <w:r>
        <w:rPr>
          <w:rFonts w:hint="eastAsia"/>
        </w:rPr>
        <w:t>5</w:t>
      </w:r>
      <w:r>
        <w:rPr>
          <w:rFonts w:hint="eastAsia"/>
        </w:rPr>
        <w:t>月</w:t>
      </w:r>
      <w:r>
        <w:rPr>
          <w:rFonts w:hint="eastAsia"/>
        </w:rPr>
        <w:t>1</w:t>
      </w:r>
      <w:r>
        <w:rPr>
          <w:rFonts w:hint="eastAsia"/>
        </w:rPr>
        <w:t>日現在の</w:t>
      </w:r>
      <w:r>
        <w:rPr>
          <w:rFonts w:hint="default"/>
        </w:rPr>
        <w:t>小学校の</w:t>
      </w:r>
      <w:r>
        <w:rPr>
          <w:rFonts w:hint="eastAsia"/>
        </w:rPr>
        <w:t>学級数・</w:t>
      </w:r>
      <w:r>
        <w:rPr>
          <w:rFonts w:hint="default"/>
        </w:rPr>
        <w:t>児童数は</w:t>
      </w:r>
      <w:r>
        <w:rPr>
          <w:rFonts w:hint="eastAsia"/>
        </w:rPr>
        <w:t>、以下のとおりです。</w:t>
      </w:r>
    </w:p>
    <w:p>
      <w:pPr>
        <w:pStyle w:val="49"/>
        <w:ind w:left="200" w:leftChars="100" w:firstLine="0" w:firstLineChars="0"/>
        <w:jc w:val="both"/>
        <w:rPr>
          <w:rFonts w:hint="default"/>
        </w:rPr>
      </w:pPr>
    </w:p>
    <w:p>
      <w:pPr>
        <w:pStyle w:val="33"/>
        <w:ind w:left="200" w:leftChars="100"/>
        <w:rPr>
          <w:rFonts w:hint="default"/>
        </w:rPr>
      </w:pPr>
      <w:bookmarkStart w:id="13" w:name="_Ref53467725"/>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3</w:t>
      </w:r>
      <w:r>
        <w:rPr>
          <w:rFonts w:hint="eastAsia"/>
        </w:rPr>
        <w:fldChar w:fldCharType="end"/>
      </w:r>
      <w:bookmarkEnd w:id="13"/>
      <w:r>
        <w:rPr>
          <w:rFonts w:hint="eastAsia" w:ascii="ＭＳ Ｐゴシック" w:hAnsi="ＭＳ Ｐゴシック" w:eastAsia="ＭＳ Ｐゴシック"/>
          <w:b w:val="0"/>
        </w:rPr>
        <w:t>（</w:t>
      </w:r>
      <w:r>
        <w:rPr>
          <w:rFonts w:hint="eastAsia" w:ascii="ＭＳ Ｐゴシック" w:hAnsi="ＭＳ Ｐゴシック" w:eastAsia="ＭＳ Ｐゴシック"/>
          <w:b w:val="0"/>
        </w:rPr>
        <w:t>1</w:t>
      </w:r>
      <w:r>
        <w:rPr>
          <w:rFonts w:hint="eastAsia" w:ascii="ＭＳ Ｐゴシック" w:hAnsi="ＭＳ Ｐゴシック" w:eastAsia="ＭＳ Ｐゴシック"/>
          <w:b w:val="0"/>
        </w:rPr>
        <w:t>）　施設別の学級数・児童数（小学校：令和</w:t>
      </w:r>
      <w:r>
        <w:rPr>
          <w:rFonts w:hint="default" w:ascii="ＭＳ Ｐゴシック" w:hAnsi="ＭＳ Ｐゴシック" w:eastAsia="ＭＳ Ｐゴシック"/>
          <w:b w:val="0"/>
        </w:rPr>
        <w:t>2</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2020</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5</w:t>
      </w:r>
      <w:r>
        <w:rPr>
          <w:rFonts w:hint="default" w:ascii="ＭＳ Ｐゴシック" w:hAnsi="ＭＳ Ｐゴシック" w:eastAsia="ＭＳ Ｐゴシック"/>
          <w:b w:val="0"/>
        </w:rPr>
        <w:t>月</w:t>
      </w:r>
      <w:r>
        <w:rPr>
          <w:rFonts w:hint="default" w:ascii="ＭＳ Ｐゴシック" w:hAnsi="ＭＳ Ｐゴシック" w:eastAsia="ＭＳ Ｐゴシック"/>
          <w:b w:val="0"/>
        </w:rPr>
        <w:t>1</w:t>
      </w:r>
      <w:r>
        <w:rPr>
          <w:rFonts w:hint="default" w:ascii="ＭＳ Ｐゴシック" w:hAnsi="ＭＳ Ｐゴシック" w:eastAsia="ＭＳ Ｐゴシック"/>
          <w:b w:val="0"/>
        </w:rPr>
        <w:t>日現在</w:t>
      </w:r>
      <w:r>
        <w:rPr>
          <w:rFonts w:hint="eastAsia" w:ascii="ＭＳ Ｐゴシック" w:hAnsi="ＭＳ Ｐゴシック" w:eastAsia="ＭＳ Ｐゴシック"/>
          <w:b w:val="0"/>
        </w:rPr>
        <w:t>）</w:t>
      </w:r>
    </w:p>
    <w:tbl>
      <w:tblPr>
        <w:tblStyle w:val="57"/>
        <w:tblW w:w="8505" w:type="dxa"/>
        <w:tblInd w:w="279" w:type="dxa"/>
        <w:tblLayout w:type="fixed"/>
        <w:tblLook w:firstRow="1" w:lastRow="0" w:firstColumn="1" w:lastColumn="0" w:noHBand="0" w:noVBand="1" w:val="04A0"/>
      </w:tblPr>
      <w:tblGrid>
        <w:gridCol w:w="397"/>
        <w:gridCol w:w="1587"/>
        <w:gridCol w:w="993"/>
        <w:gridCol w:w="688"/>
        <w:gridCol w:w="688"/>
        <w:gridCol w:w="689"/>
        <w:gridCol w:w="688"/>
        <w:gridCol w:w="689"/>
        <w:gridCol w:w="688"/>
        <w:gridCol w:w="689"/>
        <w:gridCol w:w="709"/>
      </w:tblGrid>
      <w:tr>
        <w:trPr>
          <w:trHeight w:val="369" w:hRule="exact"/>
        </w:trPr>
        <w:tc>
          <w:tcPr>
            <w:tcW w:w="2977" w:type="dxa"/>
            <w:gridSpan w:val="3"/>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施設名</w:t>
            </w:r>
          </w:p>
        </w:tc>
        <w:tc>
          <w:tcPr>
            <w:tcW w:w="688"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１年</w:t>
            </w:r>
          </w:p>
        </w:tc>
        <w:tc>
          <w:tcPr>
            <w:tcW w:w="688"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２年</w:t>
            </w:r>
          </w:p>
        </w:tc>
        <w:tc>
          <w:tcPr>
            <w:tcW w:w="689"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３年</w:t>
            </w:r>
          </w:p>
        </w:tc>
        <w:tc>
          <w:tcPr>
            <w:tcW w:w="688"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４年</w:t>
            </w:r>
          </w:p>
        </w:tc>
        <w:tc>
          <w:tcPr>
            <w:tcW w:w="689"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５年</w:t>
            </w:r>
          </w:p>
        </w:tc>
        <w:tc>
          <w:tcPr>
            <w:tcW w:w="688"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６年</w:t>
            </w:r>
          </w:p>
        </w:tc>
        <w:tc>
          <w:tcPr>
            <w:tcW w:w="689"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支援</w:t>
            </w:r>
          </w:p>
        </w:tc>
        <w:tc>
          <w:tcPr>
            <w:tcW w:w="709"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合計</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尾崎小学校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7</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7</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4</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88</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2</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西鳥取小学校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29</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4</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52</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下荘小学校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8</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7</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4</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07</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4</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東鳥取小学校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5</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r>
              <w:rPr>
                <w:rFonts w:hint="default" w:ascii="ＭＳ Ｐゴシック" w:hAnsi="ＭＳ Ｐゴシック" w:eastAsia="ＭＳ Ｐゴシック"/>
              </w:rPr>
              <w:t>8</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9</w:t>
            </w:r>
            <w:r>
              <w:rPr>
                <w:rFonts w:hint="default" w:ascii="ＭＳ Ｐゴシック" w:hAnsi="ＭＳ Ｐゴシック" w:eastAsia="ＭＳ Ｐゴシック"/>
              </w:rPr>
              <w:t>4</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9</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06</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48</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5</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舞小学校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2</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4</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9</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8</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34</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6</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朝日小学校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6</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0</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79</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上荘小学校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0</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4</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52</w:t>
            </w:r>
          </w:p>
        </w:tc>
      </w:tr>
      <w:tr>
        <w:trPr>
          <w:trHeight w:val="340" w:hRule="exact"/>
        </w:trPr>
        <w:tc>
          <w:tcPr>
            <w:tcW w:w="397" w:type="dxa"/>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8</w:t>
            </w:r>
          </w:p>
        </w:tc>
        <w:tc>
          <w:tcPr>
            <w:tcW w:w="1587" w:type="dxa"/>
            <w:vMerge w:val="restart"/>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桃の木台小学校</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2</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3</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r>
      <w:tr>
        <w:trPr>
          <w:trHeight w:val="340" w:hRule="exact"/>
        </w:trPr>
        <w:tc>
          <w:tcPr>
            <w:tcW w:w="397" w:type="dxa"/>
            <w:vMerge w:val="continue"/>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p>
        </w:tc>
        <w:tc>
          <w:tcPr>
            <w:tcW w:w="1587" w:type="dxa"/>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9</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4</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r>
              <w:rPr>
                <w:rFonts w:hint="default" w:ascii="ＭＳ Ｐゴシック" w:hAnsi="ＭＳ Ｐゴシック" w:eastAsia="ＭＳ Ｐゴシック"/>
              </w:rPr>
              <w:t>9</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5</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r>
              <w:rPr>
                <w:rFonts w:hint="default" w:ascii="ＭＳ Ｐゴシック" w:hAnsi="ＭＳ Ｐゴシック" w:eastAsia="ＭＳ Ｐゴシック"/>
              </w:rPr>
              <w:t>6</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09</w:t>
            </w:r>
          </w:p>
        </w:tc>
      </w:tr>
      <w:tr>
        <w:trPr>
          <w:trHeight w:val="340" w:hRule="exact"/>
        </w:trPr>
        <w:tc>
          <w:tcPr>
            <w:tcW w:w="1984" w:type="dxa"/>
            <w:gridSpan w:val="2"/>
            <w:vMerge w:val="restart"/>
            <w:shd w:val="clear" w:color="auto" w:themeFill="accent1" w:themeFillTint="33" w:themeFillShade="FF"/>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　　　計</w:t>
            </w: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4</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17</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7</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9</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20</w:t>
            </w:r>
          </w:p>
        </w:tc>
      </w:tr>
      <w:tr>
        <w:trPr>
          <w:trHeight w:val="340" w:hRule="exact"/>
        </w:trPr>
        <w:tc>
          <w:tcPr>
            <w:tcW w:w="1984" w:type="dxa"/>
            <w:gridSpan w:val="2"/>
            <w:vMerge w:val="continue"/>
            <w:shd w:val="clear" w:color="auto" w:themeFill="accent1" w:themeFillTint="33" w:themeFillShade="FF"/>
            <w:vAlign w:val="center"/>
          </w:tcPr>
          <w:p>
            <w:pPr>
              <w:pStyle w:val="49"/>
              <w:snapToGrid w:val="0"/>
              <w:ind w:left="0" w:leftChars="0" w:firstLine="0" w:firstLineChars="0"/>
              <w:jc w:val="both"/>
              <w:rPr>
                <w:rFonts w:hint="default" w:ascii="ＭＳ Ｐゴシック" w:hAnsi="ＭＳ Ｐゴシック" w:eastAsia="ＭＳ Ｐゴシック"/>
                <w:sz w:val="18"/>
              </w:rPr>
            </w:pPr>
          </w:p>
        </w:tc>
        <w:tc>
          <w:tcPr>
            <w:tcW w:w="993" w:type="dxa"/>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児童数</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90</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81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16</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21</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91</w:t>
            </w:r>
          </w:p>
        </w:tc>
        <w:tc>
          <w:tcPr>
            <w:tcW w:w="688"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70</w:t>
            </w:r>
          </w:p>
        </w:tc>
        <w:tc>
          <w:tcPr>
            <w:tcW w:w="68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w:t>
            </w:r>
          </w:p>
        </w:tc>
        <w:tc>
          <w:tcPr>
            <w:tcW w:w="709" w:type="dxa"/>
            <w:vAlign w:val="center"/>
          </w:tcPr>
          <w:p>
            <w:pPr>
              <w:pStyle w:val="49"/>
              <w:snapToGrid w:val="0"/>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2,569</w:t>
            </w:r>
          </w:p>
        </w:tc>
      </w:tr>
    </w:tbl>
    <w:p>
      <w:pPr>
        <w:pStyle w:val="49"/>
        <w:ind w:left="200" w:leftChars="100" w:firstLine="0" w:firstLineChars="0"/>
        <w:jc w:val="center"/>
        <w:rPr>
          <w:rFonts w:hint="default"/>
        </w:rPr>
      </w:pPr>
    </w:p>
    <w:p>
      <w:pPr>
        <w:pStyle w:val="49"/>
        <w:ind w:left="200" w:leftChars="100" w:firstLine="0" w:firstLineChars="0"/>
        <w:jc w:val="center"/>
        <w:rPr>
          <w:rFonts w:hint="default"/>
        </w:rPr>
      </w:pPr>
      <w:r>
        <w:rPr>
          <w:rFonts w:hint="default" w:ascii="ＭＳ Ｐゴシック" w:hAnsi="ＭＳ Ｐゴシック" w:eastAsia="ＭＳ Ｐゴシック"/>
        </w:rPr>
        <w:drawing>
          <wp:inline distT="0" distB="0" distL="0" distR="0">
            <wp:extent cx="5391150" cy="2734310"/>
            <wp:effectExtent l="0" t="0" r="0" b="0"/>
            <wp:docPr id="1043" name="オブジェクト 0"/>
            <a:graphic xmlns:a="http://schemas.openxmlformats.org/drawingml/2006/main">
              <a:graphicData uri="http://schemas.openxmlformats.org/drawingml/2006/chart">
                <c:chart xmlns:c="http://schemas.openxmlformats.org/drawingml/2006/chart" r:id="rId26"/>
              </a:graphicData>
            </a:graphic>
          </wp:inline>
        </w:drawing>
      </w:r>
    </w:p>
    <w:p>
      <w:pPr>
        <w:pStyle w:val="49"/>
        <w:ind w:left="200" w:leftChars="100" w:firstLine="0" w:firstLineChars="0"/>
        <w:jc w:val="center"/>
        <w:rPr>
          <w:rFonts w:hint="default" w:ascii="ＭＳ Ｐゴシック" w:hAnsi="ＭＳ Ｐゴシック" w:eastAsia="ＭＳ Ｐゴシック"/>
        </w:rPr>
      </w:pPr>
      <w:bookmarkStart w:id="14" w:name="_Ref53468731"/>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3</w:t>
      </w:r>
      <w:r>
        <w:rPr>
          <w:rFonts w:hint="eastAsia"/>
        </w:rPr>
        <w:fldChar w:fldCharType="end"/>
      </w:r>
      <w:bookmarkEnd w:id="14"/>
      <w:r>
        <w:rPr>
          <w:rFonts w:hint="eastAsia" w:ascii="ＭＳ Ｐゴシック" w:hAnsi="ＭＳ Ｐゴシック" w:eastAsia="ＭＳ Ｐゴシック"/>
        </w:rPr>
        <w:t>（</w:t>
      </w:r>
      <w:r>
        <w:rPr>
          <w:rFonts w:hint="default" w:ascii="ＭＳ Ｐゴシック" w:hAnsi="ＭＳ Ｐゴシック" w:eastAsia="ＭＳ Ｐゴシック"/>
        </w:rPr>
        <w:t>1</w:t>
      </w:r>
      <w:r>
        <w:rPr>
          <w:rFonts w:hint="eastAsia" w:ascii="ＭＳ Ｐゴシック" w:hAnsi="ＭＳ Ｐゴシック" w:eastAsia="ＭＳ Ｐゴシック"/>
        </w:rPr>
        <w:t>）　施設別の児童数（小学校：令和</w:t>
      </w:r>
      <w:r>
        <w:rPr>
          <w:rFonts w:hint="default" w:ascii="ＭＳ Ｐゴシック" w:hAnsi="ＭＳ Ｐゴシック" w:eastAsia="ＭＳ Ｐゴシック"/>
        </w:rPr>
        <w:t>2</w:t>
      </w:r>
      <w:r>
        <w:rPr>
          <w:rFonts w:hint="default" w:ascii="ＭＳ Ｐゴシック" w:hAnsi="ＭＳ Ｐゴシック" w:eastAsia="ＭＳ Ｐゴシック"/>
        </w:rPr>
        <w:t>年（</w:t>
      </w:r>
      <w:r>
        <w:rPr>
          <w:rFonts w:hint="default" w:ascii="ＭＳ Ｐゴシック" w:hAnsi="ＭＳ Ｐゴシック" w:eastAsia="ＭＳ Ｐゴシック"/>
        </w:rPr>
        <w:t>2020</w:t>
      </w:r>
      <w:r>
        <w:rPr>
          <w:rFonts w:hint="default" w:ascii="ＭＳ Ｐゴシック" w:hAnsi="ＭＳ Ｐゴシック" w:eastAsia="ＭＳ Ｐゴシック"/>
        </w:rPr>
        <w:t>年）</w:t>
      </w:r>
      <w:r>
        <w:rPr>
          <w:rFonts w:hint="default" w:ascii="ＭＳ Ｐゴシック" w:hAnsi="ＭＳ Ｐゴシック" w:eastAsia="ＭＳ Ｐゴシック"/>
        </w:rPr>
        <w:t>5</w:t>
      </w:r>
      <w:r>
        <w:rPr>
          <w:rFonts w:hint="default" w:ascii="ＭＳ Ｐゴシック" w:hAnsi="ＭＳ Ｐゴシック" w:eastAsia="ＭＳ Ｐゴシック"/>
        </w:rPr>
        <w:t>月</w:t>
      </w:r>
      <w:r>
        <w:rPr>
          <w:rFonts w:hint="default" w:ascii="ＭＳ Ｐゴシック" w:hAnsi="ＭＳ Ｐゴシック" w:eastAsia="ＭＳ Ｐゴシック"/>
        </w:rPr>
        <w:t>1</w:t>
      </w:r>
      <w:r>
        <w:rPr>
          <w:rFonts w:hint="default" w:ascii="ＭＳ Ｐゴシック" w:hAnsi="ＭＳ Ｐゴシック" w:eastAsia="ＭＳ Ｐゴシック"/>
        </w:rPr>
        <w:t>日現在</w:t>
      </w:r>
      <w:r>
        <w:rPr>
          <w:rFonts w:hint="eastAsia" w:ascii="ＭＳ Ｐゴシック" w:hAnsi="ＭＳ Ｐゴシック" w:eastAsia="ＭＳ Ｐゴシック"/>
        </w:rPr>
        <w:t>）</w:t>
      </w:r>
    </w:p>
    <w:p>
      <w:pPr>
        <w:pStyle w:val="49"/>
        <w:ind w:left="200" w:leftChars="100" w:firstLine="0" w:firstLineChars="0"/>
        <w:rPr>
          <w:rFonts w:hint="default"/>
          <w:b w:val="1"/>
        </w:rPr>
      </w:pPr>
    </w:p>
    <w:p>
      <w:pPr>
        <w:pStyle w:val="34"/>
        <w:numPr>
          <w:ilvl w:val="0"/>
          <w:numId w:val="5"/>
        </w:numPr>
        <w:ind w:left="100" w:leftChars="50" w:firstLine="0"/>
        <w:rPr>
          <w:rFonts w:hint="default"/>
          <w:b w:val="1"/>
        </w:rPr>
      </w:pPr>
      <w:r>
        <w:rPr>
          <w:rFonts w:hint="eastAsia"/>
          <w:b w:val="1"/>
        </w:rPr>
        <w:t>中学校</w:t>
      </w:r>
    </w:p>
    <w:p>
      <w:pPr>
        <w:pStyle w:val="49"/>
        <w:ind w:left="200" w:leftChars="100" w:firstLine="0" w:firstLineChars="0"/>
        <w:jc w:val="both"/>
        <w:rPr>
          <w:rFonts w:hint="default"/>
        </w:rPr>
      </w:pPr>
      <w:r>
        <w:rPr>
          <w:rFonts w:hint="eastAsia"/>
        </w:rPr>
        <w:t>　本市の令和</w:t>
      </w:r>
      <w:r>
        <w:rPr>
          <w:rFonts w:hint="eastAsia"/>
        </w:rPr>
        <w:t>2</w:t>
      </w:r>
      <w:r>
        <w:rPr>
          <w:rFonts w:hint="eastAsia"/>
        </w:rPr>
        <w:t>年（</w:t>
      </w:r>
      <w:r>
        <w:rPr>
          <w:rFonts w:hint="eastAsia"/>
        </w:rPr>
        <w:t>2</w:t>
      </w:r>
      <w:r>
        <w:rPr>
          <w:rFonts w:hint="default"/>
        </w:rPr>
        <w:t>020</w:t>
      </w:r>
      <w:r>
        <w:rPr>
          <w:rFonts w:hint="eastAsia"/>
        </w:rPr>
        <w:t>年）</w:t>
      </w:r>
      <w:r>
        <w:rPr>
          <w:rFonts w:hint="eastAsia"/>
        </w:rPr>
        <w:t>5</w:t>
      </w:r>
      <w:r>
        <w:rPr>
          <w:rFonts w:hint="eastAsia"/>
        </w:rPr>
        <w:t>月</w:t>
      </w:r>
      <w:r>
        <w:rPr>
          <w:rFonts w:hint="eastAsia"/>
        </w:rPr>
        <w:t>1</w:t>
      </w:r>
      <w:r>
        <w:rPr>
          <w:rFonts w:hint="eastAsia"/>
        </w:rPr>
        <w:t>日現在の中</w:t>
      </w:r>
      <w:r>
        <w:rPr>
          <w:rFonts w:hint="default"/>
        </w:rPr>
        <w:t>学校の</w:t>
      </w:r>
      <w:r>
        <w:rPr>
          <w:rFonts w:hint="eastAsia"/>
        </w:rPr>
        <w:t>学級数・生徒数は、以下のとおりです。</w:t>
      </w:r>
    </w:p>
    <w:p>
      <w:pPr>
        <w:pStyle w:val="49"/>
        <w:ind w:left="200" w:leftChars="100" w:firstLine="0" w:firstLineChars="0"/>
        <w:jc w:val="both"/>
        <w:rPr>
          <w:rFonts w:hint="default"/>
        </w:rPr>
      </w:pPr>
    </w:p>
    <w:p>
      <w:pPr>
        <w:pStyle w:val="33"/>
        <w:ind w:left="100" w:leftChars="50"/>
        <w:rPr>
          <w:rFonts w:hint="default"/>
        </w:rPr>
      </w:pPr>
      <w:r>
        <w:rPr>
          <w:rFonts w:hint="eastAsia"/>
        </w:rPr>
        <w:fldChar w:fldCharType="begin"/>
      </w:r>
      <w:r>
        <w:rPr>
          <w:rFonts w:hint="default" w:ascii="ＭＳ Ｐゴシック" w:hAnsi="ＭＳ Ｐゴシック" w:eastAsia="ＭＳ Ｐゴシック"/>
          <w:b w:val="0"/>
        </w:rPr>
        <w:instrText xml:space="preserve"> REF _Ref53467725 \h </w:instrText>
      </w:r>
      <w:r>
        <w:rPr>
          <w:rFonts w:hint="eastAsia"/>
        </w:rPr>
        <w:fldChar w:fldCharType="separate"/>
      </w:r>
      <w:r>
        <w:rPr>
          <w:rFonts w:hint="default" w:ascii="ＭＳ Ｐゴシック" w:hAnsi="ＭＳ Ｐゴシック" w:eastAsia="ＭＳ Ｐゴシック"/>
          <w:b w:val="0"/>
        </w:rPr>
        <w:t>表</w:t>
      </w:r>
      <w:r>
        <w:rPr>
          <w:rFonts w:hint="default" w:ascii="ＭＳ Ｐゴシック" w:hAnsi="ＭＳ Ｐゴシック" w:eastAsia="ＭＳ Ｐゴシック"/>
          <w:b w:val="0"/>
        </w:rPr>
        <w:t>3</w:t>
      </w:r>
      <w:r>
        <w:rPr>
          <w:rFonts w:hint="eastAsia"/>
        </w:rPr>
        <w:fldChar w:fldCharType="end"/>
      </w:r>
      <w:r>
        <w:rPr>
          <w:rFonts w:hint="eastAsia" w:ascii="ＭＳ Ｐゴシック" w:hAnsi="ＭＳ Ｐゴシック" w:eastAsia="ＭＳ Ｐゴシック"/>
          <w:b w:val="0"/>
        </w:rPr>
        <w:t>（</w:t>
      </w:r>
      <w:r>
        <w:rPr>
          <w:rFonts w:hint="eastAsia" w:ascii="ＭＳ Ｐゴシック" w:hAnsi="ＭＳ Ｐゴシック" w:eastAsia="ＭＳ Ｐゴシック"/>
          <w:b w:val="0"/>
        </w:rPr>
        <w:t>2</w:t>
      </w:r>
      <w:r>
        <w:rPr>
          <w:rFonts w:hint="eastAsia" w:ascii="ＭＳ Ｐゴシック" w:hAnsi="ＭＳ Ｐゴシック" w:eastAsia="ＭＳ Ｐゴシック"/>
          <w:b w:val="0"/>
        </w:rPr>
        <w:t>）　施設別の学級数・生徒数（中学校：令和</w:t>
      </w:r>
      <w:r>
        <w:rPr>
          <w:rFonts w:hint="default" w:ascii="ＭＳ Ｐゴシック" w:hAnsi="ＭＳ Ｐゴシック" w:eastAsia="ＭＳ Ｐゴシック"/>
          <w:b w:val="0"/>
        </w:rPr>
        <w:t>2</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2020</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5</w:t>
      </w:r>
      <w:r>
        <w:rPr>
          <w:rFonts w:hint="default" w:ascii="ＭＳ Ｐゴシック" w:hAnsi="ＭＳ Ｐゴシック" w:eastAsia="ＭＳ Ｐゴシック"/>
          <w:b w:val="0"/>
        </w:rPr>
        <w:t>月</w:t>
      </w:r>
      <w:r>
        <w:rPr>
          <w:rFonts w:hint="default" w:ascii="ＭＳ Ｐゴシック" w:hAnsi="ＭＳ Ｐゴシック" w:eastAsia="ＭＳ Ｐゴシック"/>
          <w:b w:val="0"/>
        </w:rPr>
        <w:t>1</w:t>
      </w:r>
      <w:r>
        <w:rPr>
          <w:rFonts w:hint="default" w:ascii="ＭＳ Ｐゴシック" w:hAnsi="ＭＳ Ｐゴシック" w:eastAsia="ＭＳ Ｐゴシック"/>
          <w:b w:val="0"/>
        </w:rPr>
        <w:t>日現在</w:t>
      </w:r>
      <w:r>
        <w:rPr>
          <w:rFonts w:hint="eastAsia" w:ascii="ＭＳ Ｐゴシック" w:hAnsi="ＭＳ Ｐゴシック" w:eastAsia="ＭＳ Ｐゴシック"/>
          <w:b w:val="0"/>
        </w:rPr>
        <w:t>）</w:t>
      </w:r>
    </w:p>
    <w:tbl>
      <w:tblPr>
        <w:tblStyle w:val="57"/>
        <w:tblW w:w="8505" w:type="dxa"/>
        <w:tblInd w:w="279" w:type="dxa"/>
        <w:tblLayout w:type="fixed"/>
        <w:tblLook w:firstRow="1" w:lastRow="0" w:firstColumn="1" w:lastColumn="0" w:noHBand="0" w:noVBand="1" w:val="04A0"/>
      </w:tblPr>
      <w:tblGrid>
        <w:gridCol w:w="397"/>
        <w:gridCol w:w="2013"/>
        <w:gridCol w:w="1275"/>
        <w:gridCol w:w="921"/>
        <w:gridCol w:w="922"/>
        <w:gridCol w:w="921"/>
        <w:gridCol w:w="922"/>
        <w:gridCol w:w="1134"/>
      </w:tblGrid>
      <w:tr>
        <w:trPr/>
        <w:tc>
          <w:tcPr>
            <w:tcW w:w="3685" w:type="dxa"/>
            <w:gridSpan w:val="3"/>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施設名</w:t>
            </w:r>
          </w:p>
        </w:tc>
        <w:tc>
          <w:tcPr>
            <w:tcW w:w="921"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１年</w:t>
            </w:r>
          </w:p>
        </w:tc>
        <w:tc>
          <w:tcPr>
            <w:tcW w:w="922"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２年</w:t>
            </w:r>
          </w:p>
        </w:tc>
        <w:tc>
          <w:tcPr>
            <w:tcW w:w="921"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３年</w:t>
            </w:r>
          </w:p>
        </w:tc>
        <w:tc>
          <w:tcPr>
            <w:tcW w:w="922"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支援</w:t>
            </w:r>
          </w:p>
        </w:tc>
        <w:tc>
          <w:tcPr>
            <w:tcW w:w="1134"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合計</w:t>
            </w:r>
          </w:p>
        </w:tc>
      </w:tr>
      <w:tr>
        <w:trPr/>
        <w:tc>
          <w:tcPr>
            <w:tcW w:w="397" w:type="dxa"/>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2013" w:type="dxa"/>
            <w:vMerge w:val="restart"/>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鳥取中学校</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922" w:type="dxa"/>
            <w:vAlign w:val="center"/>
          </w:tcPr>
          <w:p>
            <w:pPr>
              <w:pStyle w:val="49"/>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5</w:t>
            </w:r>
          </w:p>
        </w:tc>
        <w:tc>
          <w:tcPr>
            <w:tcW w:w="921" w:type="dxa"/>
            <w:vAlign w:val="top"/>
          </w:tcPr>
          <w:p>
            <w:pPr>
              <w:pStyle w:val="49"/>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922" w:type="dxa"/>
            <w:vAlign w:val="top"/>
          </w:tcPr>
          <w:p>
            <w:pPr>
              <w:pStyle w:val="49"/>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1134" w:type="dxa"/>
            <w:vAlign w:val="top"/>
          </w:tcPr>
          <w:p>
            <w:pPr>
              <w:pStyle w:val="49"/>
              <w:ind w:left="0" w:leftChars="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7</w:t>
            </w:r>
          </w:p>
        </w:tc>
      </w:tr>
      <w:tr>
        <w:trPr/>
        <w:tc>
          <w:tcPr>
            <w:tcW w:w="397"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生徒数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33</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66</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45</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44</w:t>
            </w:r>
          </w:p>
        </w:tc>
      </w:tr>
      <w:tr>
        <w:trPr/>
        <w:tc>
          <w:tcPr>
            <w:tcW w:w="397" w:type="dxa"/>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2</w:t>
            </w:r>
          </w:p>
        </w:tc>
        <w:tc>
          <w:tcPr>
            <w:tcW w:w="2013" w:type="dxa"/>
            <w:vMerge w:val="restart"/>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貝掛中学校</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1</w:t>
            </w:r>
          </w:p>
        </w:tc>
      </w:tr>
      <w:tr>
        <w:trPr/>
        <w:tc>
          <w:tcPr>
            <w:tcW w:w="397"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生徒数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9</w:t>
            </w:r>
            <w:r>
              <w:rPr>
                <w:rFonts w:hint="default" w:ascii="ＭＳ Ｐゴシック" w:hAnsi="ＭＳ Ｐゴシック" w:eastAsia="ＭＳ Ｐゴシック"/>
              </w:rPr>
              <w:t>0</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9</w:t>
            </w:r>
            <w:r>
              <w:rPr>
                <w:rFonts w:hint="default" w:ascii="ＭＳ Ｐゴシック" w:hAnsi="ＭＳ Ｐゴシック" w:eastAsia="ＭＳ Ｐゴシック"/>
              </w:rPr>
              <w:t>0</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05</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85</w:t>
            </w:r>
          </w:p>
        </w:tc>
      </w:tr>
      <w:tr>
        <w:trPr/>
        <w:tc>
          <w:tcPr>
            <w:tcW w:w="397" w:type="dxa"/>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p>
        </w:tc>
        <w:tc>
          <w:tcPr>
            <w:tcW w:w="2013" w:type="dxa"/>
            <w:vMerge w:val="restart"/>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鳥取東中学校</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r>
      <w:tr>
        <w:trPr/>
        <w:tc>
          <w:tcPr>
            <w:tcW w:w="397"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生徒数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33</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17</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32</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82</w:t>
            </w:r>
          </w:p>
        </w:tc>
      </w:tr>
      <w:tr>
        <w:trPr/>
        <w:tc>
          <w:tcPr>
            <w:tcW w:w="397" w:type="dxa"/>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4</w:t>
            </w:r>
          </w:p>
        </w:tc>
        <w:tc>
          <w:tcPr>
            <w:tcW w:w="2013" w:type="dxa"/>
            <w:vMerge w:val="restart"/>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飯の峯中学校</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p>
        </w:tc>
      </w:tr>
      <w:tr>
        <w:trPr/>
        <w:tc>
          <w:tcPr>
            <w:tcW w:w="397" w:type="dxa"/>
            <w:vMerge w:val="continue"/>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生徒数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0</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9</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2</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21</w:t>
            </w:r>
          </w:p>
        </w:tc>
      </w:tr>
      <w:tr>
        <w:trPr/>
        <w:tc>
          <w:tcPr>
            <w:tcW w:w="2410" w:type="dxa"/>
            <w:gridSpan w:val="2"/>
            <w:vMerge w:val="restart"/>
            <w:shd w:val="clear" w:color="auto" w:themeFill="accent2"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　　　計</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4</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3</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default" w:ascii="ＭＳ Ｐゴシック" w:hAnsi="ＭＳ Ｐゴシック" w:eastAsia="ＭＳ Ｐゴシック"/>
              </w:rPr>
              <w:t>51</w:t>
            </w:r>
          </w:p>
        </w:tc>
      </w:tr>
      <w:tr>
        <w:trPr/>
        <w:tc>
          <w:tcPr>
            <w:tcW w:w="2410" w:type="dxa"/>
            <w:gridSpan w:val="2"/>
            <w:vMerge w:val="continue"/>
            <w:shd w:val="clear" w:color="auto" w:themeFill="accent2"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生徒数</w:t>
            </w:r>
          </w:p>
        </w:tc>
        <w:tc>
          <w:tcPr>
            <w:tcW w:w="921"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26</w:t>
            </w:r>
          </w:p>
        </w:tc>
        <w:tc>
          <w:tcPr>
            <w:tcW w:w="922"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52</w:t>
            </w:r>
          </w:p>
        </w:tc>
        <w:tc>
          <w:tcPr>
            <w:tcW w:w="921"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54</w:t>
            </w:r>
          </w:p>
        </w:tc>
        <w:tc>
          <w:tcPr>
            <w:tcW w:w="922"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1,332</w:t>
            </w:r>
          </w:p>
        </w:tc>
      </w:tr>
    </w:tbl>
    <w:p>
      <w:pPr>
        <w:pStyle w:val="49"/>
        <w:ind w:left="100" w:firstLine="200"/>
        <w:jc w:val="both"/>
        <w:rPr>
          <w:rFonts w:hint="default"/>
        </w:rPr>
      </w:pPr>
    </w:p>
    <w:p>
      <w:pPr>
        <w:pStyle w:val="49"/>
        <w:ind w:left="100" w:firstLine="200"/>
        <w:jc w:val="both"/>
        <w:rPr>
          <w:rFonts w:hint="default"/>
        </w:rPr>
      </w:pPr>
    </w:p>
    <w:p>
      <w:pPr>
        <w:pStyle w:val="49"/>
        <w:ind w:left="100" w:firstLine="200"/>
        <w:jc w:val="both"/>
        <w:rPr>
          <w:rFonts w:hint="default"/>
        </w:rPr>
      </w:pPr>
      <w:r>
        <w:rPr>
          <w:rFonts w:hint="default" w:ascii="ＭＳ Ｐゴシック" w:hAnsi="ＭＳ Ｐゴシック" w:eastAsia="ＭＳ Ｐゴシック"/>
        </w:rPr>
        <w:drawing>
          <wp:inline distT="0" distB="0" distL="0" distR="0">
            <wp:extent cx="5347970" cy="2879725"/>
            <wp:effectExtent l="0" t="0" r="0" b="0"/>
            <wp:docPr id="1044" name="オブジェクト 0"/>
            <a:graphic xmlns:a="http://schemas.openxmlformats.org/drawingml/2006/main">
              <a:graphicData uri="http://schemas.openxmlformats.org/drawingml/2006/chart">
                <c:chart xmlns:c="http://schemas.openxmlformats.org/drawingml/2006/chart" r:id="rId27"/>
              </a:graphicData>
            </a:graphic>
          </wp:inline>
        </w:drawing>
      </w:r>
    </w:p>
    <w:p>
      <w:pPr>
        <w:pStyle w:val="49"/>
        <w:ind w:left="100" w:firstLine="20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w:instrText>
      </w:r>
      <w:r>
        <w:rPr>
          <w:rFonts w:hint="eastAsia" w:ascii="ＭＳ Ｐゴシック" w:hAnsi="ＭＳ Ｐゴシック" w:eastAsia="ＭＳ Ｐゴシック"/>
        </w:rPr>
        <w:instrText>REF _Ref53468731 \h</w:instrText>
      </w:r>
      <w:r>
        <w:rPr>
          <w:rFonts w:hint="default" w:ascii="ＭＳ Ｐゴシック" w:hAnsi="ＭＳ Ｐゴシック" w:eastAsia="ＭＳ Ｐゴシック"/>
        </w:rPr>
        <w:instrText xml:space="preserve">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3</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eastAsia" w:ascii="ＭＳ Ｐゴシック" w:hAnsi="ＭＳ Ｐゴシック" w:eastAsia="ＭＳ Ｐゴシック"/>
        </w:rPr>
        <w:t>）　施設別の生徒数（中学校：令和</w:t>
      </w:r>
      <w:r>
        <w:rPr>
          <w:rFonts w:hint="default" w:ascii="ＭＳ Ｐゴシック" w:hAnsi="ＭＳ Ｐゴシック" w:eastAsia="ＭＳ Ｐゴシック"/>
        </w:rPr>
        <w:t>2</w:t>
      </w:r>
      <w:r>
        <w:rPr>
          <w:rFonts w:hint="default" w:ascii="ＭＳ Ｐゴシック" w:hAnsi="ＭＳ Ｐゴシック" w:eastAsia="ＭＳ Ｐゴシック"/>
        </w:rPr>
        <w:t>年（</w:t>
      </w:r>
      <w:r>
        <w:rPr>
          <w:rFonts w:hint="default" w:ascii="ＭＳ Ｐゴシック" w:hAnsi="ＭＳ Ｐゴシック" w:eastAsia="ＭＳ Ｐゴシック"/>
        </w:rPr>
        <w:t>2020</w:t>
      </w:r>
      <w:r>
        <w:rPr>
          <w:rFonts w:hint="default" w:ascii="ＭＳ Ｐゴシック" w:hAnsi="ＭＳ Ｐゴシック" w:eastAsia="ＭＳ Ｐゴシック"/>
        </w:rPr>
        <w:t>年）</w:t>
      </w:r>
      <w:r>
        <w:rPr>
          <w:rFonts w:hint="default" w:ascii="ＭＳ Ｐゴシック" w:hAnsi="ＭＳ Ｐゴシック" w:eastAsia="ＭＳ Ｐゴシック"/>
        </w:rPr>
        <w:t>5</w:t>
      </w:r>
      <w:r>
        <w:rPr>
          <w:rFonts w:hint="default" w:ascii="ＭＳ Ｐゴシック" w:hAnsi="ＭＳ Ｐゴシック" w:eastAsia="ＭＳ Ｐゴシック"/>
        </w:rPr>
        <w:t>月</w:t>
      </w:r>
      <w:r>
        <w:rPr>
          <w:rFonts w:hint="default" w:ascii="ＭＳ Ｐゴシック" w:hAnsi="ＭＳ Ｐゴシック" w:eastAsia="ＭＳ Ｐゴシック"/>
        </w:rPr>
        <w:t>1</w:t>
      </w:r>
      <w:r>
        <w:rPr>
          <w:rFonts w:hint="default" w:ascii="ＭＳ Ｐゴシック" w:hAnsi="ＭＳ Ｐゴシック" w:eastAsia="ＭＳ Ｐゴシック"/>
        </w:rPr>
        <w:t>日現在</w:t>
      </w:r>
      <w:r>
        <w:rPr>
          <w:rFonts w:hint="eastAsia" w:ascii="ＭＳ Ｐゴシック" w:hAnsi="ＭＳ Ｐゴシック" w:eastAsia="ＭＳ Ｐゴシック"/>
        </w:rPr>
        <w:t>）</w:t>
      </w:r>
    </w:p>
    <w:p>
      <w:pPr>
        <w:pStyle w:val="49"/>
        <w:ind w:left="100" w:firstLine="200"/>
        <w:jc w:val="both"/>
        <w:rPr>
          <w:rFonts w:hint="default" w:ascii="ＭＳ Ｐゴシック" w:hAnsi="ＭＳ Ｐゴシック" w:eastAsia="ＭＳ Ｐゴシック"/>
          <w:color w:val="FF0000"/>
        </w:rPr>
      </w:pPr>
    </w:p>
    <w:p>
      <w:pPr>
        <w:pStyle w:val="0"/>
        <w:widowControl w:val="1"/>
        <w:jc w:val="left"/>
        <w:rPr>
          <w:rFonts w:hint="default"/>
          <w:b w:val="1"/>
        </w:rPr>
      </w:pPr>
      <w:r>
        <w:rPr>
          <w:rFonts w:hint="default"/>
          <w:b w:val="1"/>
        </w:rPr>
        <w:br w:type="page"/>
      </w:r>
    </w:p>
    <w:p>
      <w:pPr>
        <w:pStyle w:val="34"/>
        <w:numPr>
          <w:ilvl w:val="0"/>
          <w:numId w:val="5"/>
        </w:numPr>
        <w:ind w:left="100" w:leftChars="50" w:firstLine="0"/>
        <w:rPr>
          <w:rFonts w:hint="default"/>
          <w:b w:val="1"/>
        </w:rPr>
      </w:pPr>
      <w:r>
        <w:rPr>
          <w:rFonts w:hint="eastAsia"/>
          <w:b w:val="1"/>
        </w:rPr>
        <w:t>幼稚園</w:t>
      </w:r>
    </w:p>
    <w:p>
      <w:pPr>
        <w:pStyle w:val="49"/>
        <w:ind w:left="200" w:leftChars="100" w:firstLine="0" w:firstLineChars="0"/>
        <w:jc w:val="both"/>
        <w:rPr>
          <w:rFonts w:hint="default"/>
        </w:rPr>
      </w:pPr>
      <w:r>
        <w:rPr>
          <w:rFonts w:hint="eastAsia"/>
        </w:rPr>
        <w:t>　本市の令和</w:t>
      </w:r>
      <w:r>
        <w:rPr>
          <w:rFonts w:hint="eastAsia"/>
        </w:rPr>
        <w:t>2</w:t>
      </w:r>
      <w:r>
        <w:rPr>
          <w:rFonts w:hint="eastAsia"/>
        </w:rPr>
        <w:t>年（</w:t>
      </w:r>
      <w:r>
        <w:rPr>
          <w:rFonts w:hint="eastAsia"/>
        </w:rPr>
        <w:t>2</w:t>
      </w:r>
      <w:r>
        <w:rPr>
          <w:rFonts w:hint="default"/>
        </w:rPr>
        <w:t>020</w:t>
      </w:r>
      <w:r>
        <w:rPr>
          <w:rFonts w:hint="eastAsia"/>
        </w:rPr>
        <w:t>年）</w:t>
      </w:r>
      <w:r>
        <w:rPr>
          <w:rFonts w:hint="eastAsia"/>
        </w:rPr>
        <w:t>5</w:t>
      </w:r>
      <w:r>
        <w:rPr>
          <w:rFonts w:hint="eastAsia"/>
        </w:rPr>
        <w:t>月</w:t>
      </w:r>
      <w:r>
        <w:rPr>
          <w:rFonts w:hint="eastAsia"/>
        </w:rPr>
        <w:t>1</w:t>
      </w:r>
      <w:r>
        <w:rPr>
          <w:rFonts w:hint="eastAsia"/>
        </w:rPr>
        <w:t>日現在の幼稚園</w:t>
      </w:r>
      <w:r>
        <w:rPr>
          <w:rFonts w:hint="default"/>
        </w:rPr>
        <w:t>の</w:t>
      </w:r>
      <w:r>
        <w:rPr>
          <w:rFonts w:hint="eastAsia"/>
        </w:rPr>
        <w:t>学級数・園児数は、以下のとおりです。</w:t>
      </w:r>
    </w:p>
    <w:p>
      <w:pPr>
        <w:pStyle w:val="49"/>
        <w:ind w:left="200" w:leftChars="100" w:firstLine="0" w:firstLineChars="0"/>
        <w:jc w:val="both"/>
        <w:rPr>
          <w:rFonts w:hint="default"/>
        </w:rPr>
      </w:pPr>
    </w:p>
    <w:p>
      <w:pPr>
        <w:pStyle w:val="33"/>
        <w:ind w:left="100" w:leftChars="50"/>
        <w:rPr>
          <w:rFonts w:hint="default"/>
        </w:rPr>
      </w:pPr>
      <w:r>
        <w:rPr>
          <w:rFonts w:hint="eastAsia"/>
        </w:rPr>
        <w:fldChar w:fldCharType="begin"/>
      </w:r>
      <w:r>
        <w:rPr>
          <w:rFonts w:hint="default" w:ascii="ＭＳ Ｐゴシック" w:hAnsi="ＭＳ Ｐゴシック" w:eastAsia="ＭＳ Ｐゴシック"/>
          <w:b w:val="0"/>
        </w:rPr>
        <w:instrText xml:space="preserve"> REF _Ref53467725 \h </w:instrText>
      </w:r>
      <w:r>
        <w:rPr>
          <w:rFonts w:hint="eastAsia"/>
        </w:rPr>
        <w:fldChar w:fldCharType="separate"/>
      </w:r>
      <w:r>
        <w:rPr>
          <w:rFonts w:hint="default" w:ascii="ＭＳ Ｐゴシック" w:hAnsi="ＭＳ Ｐゴシック" w:eastAsia="ＭＳ Ｐゴシック"/>
          <w:b w:val="0"/>
        </w:rPr>
        <w:t>表</w:t>
      </w:r>
      <w:r>
        <w:rPr>
          <w:rFonts w:hint="default" w:ascii="ＭＳ Ｐゴシック" w:hAnsi="ＭＳ Ｐゴシック" w:eastAsia="ＭＳ Ｐゴシック"/>
          <w:b w:val="0"/>
        </w:rPr>
        <w:t>3</w:t>
      </w:r>
      <w:r>
        <w:rPr>
          <w:rFonts w:hint="eastAsia"/>
        </w:rPr>
        <w:fldChar w:fldCharType="end"/>
      </w:r>
      <w:r>
        <w:rPr>
          <w:rFonts w:hint="eastAsia" w:ascii="ＭＳ Ｐゴシック" w:hAnsi="ＭＳ Ｐゴシック" w:eastAsia="ＭＳ Ｐゴシック"/>
          <w:b w:val="0"/>
        </w:rPr>
        <w:t>（</w:t>
      </w:r>
      <w:r>
        <w:rPr>
          <w:rFonts w:hint="eastAsia" w:ascii="ＭＳ Ｐゴシック" w:hAnsi="ＭＳ Ｐゴシック" w:eastAsia="ＭＳ Ｐゴシック"/>
          <w:b w:val="0"/>
        </w:rPr>
        <w:t>3</w:t>
      </w:r>
      <w:r>
        <w:rPr>
          <w:rFonts w:hint="eastAsia" w:ascii="ＭＳ Ｐゴシック" w:hAnsi="ＭＳ Ｐゴシック" w:eastAsia="ＭＳ Ｐゴシック"/>
          <w:b w:val="0"/>
        </w:rPr>
        <w:t>）　施設別の学級数・園児数（幼稚園：令和</w:t>
      </w:r>
      <w:r>
        <w:rPr>
          <w:rFonts w:hint="default" w:ascii="ＭＳ Ｐゴシック" w:hAnsi="ＭＳ Ｐゴシック" w:eastAsia="ＭＳ Ｐゴシック"/>
          <w:b w:val="0"/>
        </w:rPr>
        <w:t>2</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2020</w:t>
      </w:r>
      <w:r>
        <w:rPr>
          <w:rFonts w:hint="default" w:ascii="ＭＳ Ｐゴシック" w:hAnsi="ＭＳ Ｐゴシック" w:eastAsia="ＭＳ Ｐゴシック"/>
          <w:b w:val="0"/>
        </w:rPr>
        <w:t>年）</w:t>
      </w:r>
      <w:r>
        <w:rPr>
          <w:rFonts w:hint="default" w:ascii="ＭＳ Ｐゴシック" w:hAnsi="ＭＳ Ｐゴシック" w:eastAsia="ＭＳ Ｐゴシック"/>
          <w:b w:val="0"/>
        </w:rPr>
        <w:t>5</w:t>
      </w:r>
      <w:r>
        <w:rPr>
          <w:rFonts w:hint="default" w:ascii="ＭＳ Ｐゴシック" w:hAnsi="ＭＳ Ｐゴシック" w:eastAsia="ＭＳ Ｐゴシック"/>
          <w:b w:val="0"/>
        </w:rPr>
        <w:t>月</w:t>
      </w:r>
      <w:r>
        <w:rPr>
          <w:rFonts w:hint="default" w:ascii="ＭＳ Ｐゴシック" w:hAnsi="ＭＳ Ｐゴシック" w:eastAsia="ＭＳ Ｐゴシック"/>
          <w:b w:val="0"/>
        </w:rPr>
        <w:t>1</w:t>
      </w:r>
      <w:r>
        <w:rPr>
          <w:rFonts w:hint="default" w:ascii="ＭＳ Ｐゴシック" w:hAnsi="ＭＳ Ｐゴシック" w:eastAsia="ＭＳ Ｐゴシック"/>
          <w:b w:val="0"/>
        </w:rPr>
        <w:t>日現在</w:t>
      </w:r>
      <w:r>
        <w:rPr>
          <w:rFonts w:hint="eastAsia" w:ascii="ＭＳ Ｐゴシック" w:hAnsi="ＭＳ Ｐゴシック" w:eastAsia="ＭＳ Ｐゴシック"/>
          <w:b w:val="0"/>
        </w:rPr>
        <w:t>）</w:t>
      </w:r>
    </w:p>
    <w:tbl>
      <w:tblPr>
        <w:tblStyle w:val="57"/>
        <w:tblW w:w="8505" w:type="dxa"/>
        <w:tblInd w:w="279" w:type="dxa"/>
        <w:tblLayout w:type="fixed"/>
        <w:tblLook w:firstRow="1" w:lastRow="0" w:firstColumn="1" w:lastColumn="0" w:noHBand="0" w:noVBand="1" w:val="04A0"/>
      </w:tblPr>
      <w:tblGrid>
        <w:gridCol w:w="397"/>
        <w:gridCol w:w="2013"/>
        <w:gridCol w:w="1275"/>
        <w:gridCol w:w="1228"/>
        <w:gridCol w:w="1229"/>
        <w:gridCol w:w="1229"/>
        <w:gridCol w:w="1134"/>
      </w:tblGrid>
      <w:tr>
        <w:trPr/>
        <w:tc>
          <w:tcPr>
            <w:tcW w:w="3685" w:type="dxa"/>
            <w:gridSpan w:val="3"/>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施設名</w:t>
            </w:r>
          </w:p>
        </w:tc>
        <w:tc>
          <w:tcPr>
            <w:tcW w:w="1228"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３歳児</w:t>
            </w:r>
          </w:p>
        </w:tc>
        <w:tc>
          <w:tcPr>
            <w:tcW w:w="1229" w:type="dxa"/>
            <w:shd w:val="clear" w:color="auto" w:themeFill="background1" w:themeFillTint="FF" w:themeFillShade="F2"/>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４歳児</w:t>
            </w:r>
          </w:p>
        </w:tc>
        <w:tc>
          <w:tcPr>
            <w:tcW w:w="1229"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５歳児</w:t>
            </w:r>
          </w:p>
        </w:tc>
        <w:tc>
          <w:tcPr>
            <w:tcW w:w="1134" w:type="dxa"/>
            <w:shd w:val="clear" w:color="auto" w:themeFill="background1" w:themeFillTint="FF" w:themeFillShade="F2"/>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合計</w:t>
            </w:r>
          </w:p>
        </w:tc>
      </w:tr>
      <w:tr>
        <w:trPr/>
        <w:tc>
          <w:tcPr>
            <w:tcW w:w="397" w:type="dxa"/>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p>
        </w:tc>
        <w:tc>
          <w:tcPr>
            <w:tcW w:w="2013" w:type="dxa"/>
            <w:vMerge w:val="restart"/>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はあとり幼稚園</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r>
      <w:tr>
        <w:trPr/>
        <w:tc>
          <w:tcPr>
            <w:tcW w:w="397" w:type="dxa"/>
            <w:vMerge w:val="continue"/>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園児数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1</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8</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0</w:t>
            </w:r>
          </w:p>
        </w:tc>
      </w:tr>
      <w:tr>
        <w:trPr/>
        <w:tc>
          <w:tcPr>
            <w:tcW w:w="397" w:type="dxa"/>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2</w:t>
            </w:r>
          </w:p>
        </w:tc>
        <w:tc>
          <w:tcPr>
            <w:tcW w:w="2013" w:type="dxa"/>
            <w:vMerge w:val="restart"/>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まい幼稚園</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r>
      <w:tr>
        <w:trPr/>
        <w:tc>
          <w:tcPr>
            <w:tcW w:w="397" w:type="dxa"/>
            <w:vMerge w:val="continue"/>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園児数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8</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r>
              <w:rPr>
                <w:rFonts w:hint="default" w:ascii="ＭＳ Ｐゴシック" w:hAnsi="ＭＳ Ｐゴシック" w:eastAsia="ＭＳ Ｐゴシック"/>
              </w:rPr>
              <w:t>3</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r>
              <w:rPr>
                <w:rFonts w:hint="default" w:ascii="ＭＳ Ｐゴシック" w:hAnsi="ＭＳ Ｐゴシック" w:eastAsia="ＭＳ Ｐゴシック"/>
              </w:rPr>
              <w:t>2</w:t>
            </w:r>
          </w:p>
        </w:tc>
      </w:tr>
      <w:tr>
        <w:trPr/>
        <w:tc>
          <w:tcPr>
            <w:tcW w:w="397" w:type="dxa"/>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w:t>
            </w:r>
          </w:p>
        </w:tc>
        <w:tc>
          <w:tcPr>
            <w:tcW w:w="2013" w:type="dxa"/>
            <w:vMerge w:val="restart"/>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尾崎幼稚園</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r>
      <w:tr>
        <w:trPr/>
        <w:tc>
          <w:tcPr>
            <w:tcW w:w="397" w:type="dxa"/>
            <w:vMerge w:val="continue"/>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園児数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0</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9</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6</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r>
              <w:rPr>
                <w:rFonts w:hint="default" w:ascii="ＭＳ Ｐゴシック" w:hAnsi="ＭＳ Ｐゴシック" w:eastAsia="ＭＳ Ｐゴシック"/>
              </w:rPr>
              <w:t>5</w:t>
            </w:r>
          </w:p>
        </w:tc>
      </w:tr>
      <w:tr>
        <w:trPr/>
        <w:tc>
          <w:tcPr>
            <w:tcW w:w="397" w:type="dxa"/>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w:t>
            </w:r>
          </w:p>
        </w:tc>
        <w:tc>
          <w:tcPr>
            <w:tcW w:w="2013" w:type="dxa"/>
            <w:vMerge w:val="restart"/>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朝日幼稚園</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2</w:t>
            </w:r>
          </w:p>
        </w:tc>
      </w:tr>
      <w:tr>
        <w:trPr/>
        <w:tc>
          <w:tcPr>
            <w:tcW w:w="397" w:type="dxa"/>
            <w:vMerge w:val="continue"/>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p>
        </w:tc>
        <w:tc>
          <w:tcPr>
            <w:tcW w:w="2013" w:type="dxa"/>
            <w:vMerge w:val="continue"/>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園児数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7</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5</w:t>
            </w:r>
          </w:p>
        </w:tc>
      </w:tr>
      <w:tr>
        <w:trPr/>
        <w:tc>
          <w:tcPr>
            <w:tcW w:w="2410" w:type="dxa"/>
            <w:gridSpan w:val="2"/>
            <w:vMerge w:val="restart"/>
            <w:shd w:val="clear" w:color="auto" w:themeFill="accent4" w:themeFillTint="33" w:themeFillShade="FF"/>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　　　計</w:t>
            </w: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学級数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3</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1</w:t>
            </w:r>
          </w:p>
        </w:tc>
      </w:tr>
      <w:tr>
        <w:trPr/>
        <w:tc>
          <w:tcPr>
            <w:tcW w:w="2410" w:type="dxa"/>
            <w:gridSpan w:val="2"/>
            <w:vMerge w:val="continue"/>
            <w:shd w:val="clear" w:color="auto" w:themeFill="accent4" w:themeFillTint="33" w:themeFillShade="FF"/>
            <w:vAlign w:val="center"/>
          </w:tcPr>
          <w:p>
            <w:pPr>
              <w:pStyle w:val="49"/>
              <w:ind w:left="0" w:leftChars="0" w:firstLine="0" w:firstLineChars="0"/>
              <w:jc w:val="both"/>
              <w:rPr>
                <w:rFonts w:hint="default" w:ascii="ＭＳ Ｐゴシック" w:hAnsi="ＭＳ Ｐゴシック" w:eastAsia="ＭＳ Ｐゴシック"/>
                <w:sz w:val="18"/>
              </w:rPr>
            </w:pPr>
          </w:p>
        </w:tc>
        <w:tc>
          <w:tcPr>
            <w:tcW w:w="1275"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園児数</w:t>
            </w:r>
          </w:p>
        </w:tc>
        <w:tc>
          <w:tcPr>
            <w:tcW w:w="1228"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4</w:t>
            </w:r>
            <w:r>
              <w:rPr>
                <w:rFonts w:hint="default" w:ascii="ＭＳ Ｐゴシック" w:hAnsi="ＭＳ Ｐゴシック" w:eastAsia="ＭＳ Ｐゴシック"/>
              </w:rPr>
              <w:t>9</w:t>
            </w:r>
          </w:p>
        </w:tc>
        <w:tc>
          <w:tcPr>
            <w:tcW w:w="1229" w:type="dxa"/>
            <w:vAlign w:val="center"/>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6</w:t>
            </w:r>
            <w:r>
              <w:rPr>
                <w:rFonts w:hint="default" w:ascii="ＭＳ Ｐゴシック" w:hAnsi="ＭＳ Ｐゴシック" w:eastAsia="ＭＳ Ｐゴシック"/>
              </w:rPr>
              <w:t>1</w:t>
            </w:r>
          </w:p>
        </w:tc>
        <w:tc>
          <w:tcPr>
            <w:tcW w:w="1229"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8</w:t>
            </w:r>
            <w:r>
              <w:rPr>
                <w:rFonts w:hint="default" w:ascii="ＭＳ Ｐゴシック" w:hAnsi="ＭＳ Ｐゴシック" w:eastAsia="ＭＳ Ｐゴシック"/>
              </w:rPr>
              <w:t>2</w:t>
            </w:r>
          </w:p>
        </w:tc>
        <w:tc>
          <w:tcPr>
            <w:tcW w:w="1134" w:type="dxa"/>
            <w:vAlign w:val="top"/>
          </w:tcPr>
          <w:p>
            <w:pPr>
              <w:pStyle w:val="49"/>
              <w:ind w:left="0" w:leftChars="0" w:right="100" w:rightChars="50" w:firstLine="0" w:firstLineChars="0"/>
              <w:jc w:val="right"/>
              <w:rPr>
                <w:rFonts w:hint="default" w:ascii="ＭＳ Ｐゴシック" w:hAnsi="ＭＳ Ｐゴシック" w:eastAsia="ＭＳ Ｐゴシック"/>
              </w:rPr>
            </w:pPr>
            <w:r>
              <w:rPr>
                <w:rFonts w:hint="eastAsia" w:ascii="ＭＳ Ｐゴシック" w:hAnsi="ＭＳ Ｐゴシック" w:eastAsia="ＭＳ Ｐゴシック"/>
              </w:rPr>
              <w:t>1</w:t>
            </w:r>
            <w:r>
              <w:rPr>
                <w:rFonts w:hint="default" w:ascii="ＭＳ Ｐゴシック" w:hAnsi="ＭＳ Ｐゴシック" w:eastAsia="ＭＳ Ｐゴシック"/>
              </w:rPr>
              <w:t>92</w:t>
            </w:r>
          </w:p>
        </w:tc>
      </w:tr>
    </w:tbl>
    <w:p>
      <w:pPr>
        <w:pStyle w:val="49"/>
        <w:ind w:left="100" w:firstLine="200"/>
        <w:jc w:val="both"/>
        <w:rPr>
          <w:rFonts w:hint="default"/>
        </w:rPr>
      </w:pPr>
    </w:p>
    <w:p>
      <w:pPr>
        <w:pStyle w:val="49"/>
        <w:ind w:left="100" w:firstLine="200"/>
        <w:jc w:val="both"/>
        <w:rPr>
          <w:rFonts w:hint="default"/>
        </w:rPr>
      </w:pPr>
      <w:r>
        <w:rPr>
          <w:rFonts w:hint="default" w:ascii="ＭＳ Ｐゴシック" w:hAnsi="ＭＳ Ｐゴシック" w:eastAsia="ＭＳ Ｐゴシック"/>
        </w:rPr>
        <w:drawing>
          <wp:inline distT="0" distB="0" distL="0" distR="0">
            <wp:extent cx="5356860" cy="2879725"/>
            <wp:effectExtent l="0" t="0" r="0" b="0"/>
            <wp:docPr id="1045" name="オブジェクト 0"/>
            <a:graphic xmlns:a="http://schemas.openxmlformats.org/drawingml/2006/main">
              <a:graphicData uri="http://schemas.openxmlformats.org/drawingml/2006/chart">
                <c:chart xmlns:c="http://schemas.openxmlformats.org/drawingml/2006/chart" r:id="rId28"/>
              </a:graphicData>
            </a:graphic>
          </wp:inline>
        </w:drawing>
      </w:r>
    </w:p>
    <w:p>
      <w:pPr>
        <w:pStyle w:val="49"/>
        <w:ind w:left="100" w:firstLine="200"/>
        <w:jc w:val="center"/>
        <w:rPr>
          <w:rFonts w:hint="default" w:ascii="ＭＳ Ｐゴシック" w:hAnsi="ＭＳ Ｐゴシック" w:eastAsia="ＭＳ Ｐゴシック"/>
          <w:color w:val="FF0000"/>
        </w:rPr>
      </w:pPr>
      <w:r>
        <w:rPr>
          <w:rFonts w:hint="eastAsia"/>
        </w:rPr>
        <w:fldChar w:fldCharType="begin"/>
      </w:r>
      <w:r>
        <w:rPr>
          <w:rFonts w:hint="default" w:ascii="ＭＳ Ｐゴシック" w:hAnsi="ＭＳ Ｐゴシック" w:eastAsia="ＭＳ Ｐゴシック"/>
        </w:rPr>
        <w:instrText xml:space="preserve"> </w:instrText>
      </w:r>
      <w:r>
        <w:rPr>
          <w:rFonts w:hint="eastAsia" w:ascii="ＭＳ Ｐゴシック" w:hAnsi="ＭＳ Ｐゴシック" w:eastAsia="ＭＳ Ｐゴシック"/>
        </w:rPr>
        <w:instrText>REF _Ref53468731 \h</w:instrText>
      </w:r>
      <w:r>
        <w:rPr>
          <w:rFonts w:hint="default" w:ascii="ＭＳ Ｐゴシック" w:hAnsi="ＭＳ Ｐゴシック" w:eastAsia="ＭＳ Ｐゴシック"/>
        </w:rPr>
        <w:instrText xml:space="preserve">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3</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eastAsia" w:ascii="ＭＳ Ｐゴシック" w:hAnsi="ＭＳ Ｐゴシック" w:eastAsia="ＭＳ Ｐゴシック"/>
        </w:rPr>
        <w:t>）　施設別の園児数（幼稚園：令和</w:t>
      </w:r>
      <w:r>
        <w:rPr>
          <w:rFonts w:hint="default" w:ascii="ＭＳ Ｐゴシック" w:hAnsi="ＭＳ Ｐゴシック" w:eastAsia="ＭＳ Ｐゴシック"/>
        </w:rPr>
        <w:t>2</w:t>
      </w:r>
      <w:r>
        <w:rPr>
          <w:rFonts w:hint="default" w:ascii="ＭＳ Ｐゴシック" w:hAnsi="ＭＳ Ｐゴシック" w:eastAsia="ＭＳ Ｐゴシック"/>
        </w:rPr>
        <w:t>年（</w:t>
      </w:r>
      <w:r>
        <w:rPr>
          <w:rFonts w:hint="default" w:ascii="ＭＳ Ｐゴシック" w:hAnsi="ＭＳ Ｐゴシック" w:eastAsia="ＭＳ Ｐゴシック"/>
        </w:rPr>
        <w:t>2020</w:t>
      </w:r>
      <w:r>
        <w:rPr>
          <w:rFonts w:hint="default" w:ascii="ＭＳ Ｐゴシック" w:hAnsi="ＭＳ Ｐゴシック" w:eastAsia="ＭＳ Ｐゴシック"/>
        </w:rPr>
        <w:t>年）</w:t>
      </w:r>
      <w:r>
        <w:rPr>
          <w:rFonts w:hint="default" w:ascii="ＭＳ Ｐゴシック" w:hAnsi="ＭＳ Ｐゴシック" w:eastAsia="ＭＳ Ｐゴシック"/>
        </w:rPr>
        <w:t>5</w:t>
      </w:r>
      <w:r>
        <w:rPr>
          <w:rFonts w:hint="default" w:ascii="ＭＳ Ｐゴシック" w:hAnsi="ＭＳ Ｐゴシック" w:eastAsia="ＭＳ Ｐゴシック"/>
        </w:rPr>
        <w:t>月</w:t>
      </w:r>
      <w:r>
        <w:rPr>
          <w:rFonts w:hint="default" w:ascii="ＭＳ Ｐゴシック" w:hAnsi="ＭＳ Ｐゴシック" w:eastAsia="ＭＳ Ｐゴシック"/>
        </w:rPr>
        <w:t>1</w:t>
      </w:r>
      <w:r>
        <w:rPr>
          <w:rFonts w:hint="default" w:ascii="ＭＳ Ｐゴシック" w:hAnsi="ＭＳ Ｐゴシック" w:eastAsia="ＭＳ Ｐゴシック"/>
        </w:rPr>
        <w:t>日現在</w:t>
      </w:r>
      <w:r>
        <w:rPr>
          <w:rFonts w:hint="eastAsia" w:ascii="ＭＳ Ｐゴシック" w:hAnsi="ＭＳ Ｐゴシック" w:eastAsia="ＭＳ Ｐゴシック"/>
        </w:rPr>
        <w:t>）</w:t>
      </w:r>
    </w:p>
    <w:p>
      <w:pPr>
        <w:pStyle w:val="49"/>
        <w:ind w:left="100" w:firstLine="200"/>
        <w:rPr>
          <w:rFonts w:hint="default"/>
          <w:color w:val="FF0000"/>
        </w:rPr>
      </w:pPr>
    </w:p>
    <w:p>
      <w:pPr>
        <w:pStyle w:val="49"/>
        <w:ind w:left="100" w:firstLine="200"/>
        <w:rPr>
          <w:rFonts w:hint="default"/>
          <w:color w:val="FF0000"/>
        </w:rPr>
      </w:pPr>
    </w:p>
    <w:p>
      <w:pPr>
        <w:pStyle w:val="49"/>
        <w:ind w:left="100" w:firstLine="200"/>
        <w:rPr>
          <w:rFonts w:hint="default"/>
          <w:color w:val="FF0000"/>
        </w:rPr>
      </w:pPr>
    </w:p>
    <w:p>
      <w:pPr>
        <w:pStyle w:val="0"/>
        <w:widowControl w:val="1"/>
        <w:jc w:val="left"/>
        <w:rPr>
          <w:rFonts w:hint="default"/>
          <w:sz w:val="24"/>
        </w:rPr>
      </w:pPr>
      <w:r>
        <w:rPr>
          <w:rFonts w:hint="default"/>
        </w:rPr>
        <w:br w:type="page"/>
      </w:r>
    </w:p>
    <w:p>
      <w:pPr>
        <w:pStyle w:val="3"/>
        <w:rPr>
          <w:rFonts w:hint="default"/>
        </w:rPr>
      </w:pPr>
      <w:r>
        <w:rPr>
          <w:rFonts w:hint="eastAsia"/>
        </w:rPr>
        <w:t>児童生徒数及び学級数の変化</w:t>
      </w:r>
    </w:p>
    <w:p>
      <w:pPr>
        <w:pStyle w:val="34"/>
        <w:numPr>
          <w:ilvl w:val="0"/>
          <w:numId w:val="6"/>
        </w:numPr>
        <w:ind w:left="100" w:leftChars="50" w:firstLine="0"/>
        <w:rPr>
          <w:rFonts w:hint="default"/>
          <w:b w:val="1"/>
        </w:rPr>
      </w:pPr>
      <w:bookmarkEnd w:id="12"/>
      <w:r>
        <w:rPr>
          <w:rFonts w:hint="eastAsia"/>
          <w:b w:val="1"/>
        </w:rPr>
        <w:t>小学校</w:t>
      </w:r>
    </w:p>
    <w:p>
      <w:pPr>
        <w:pStyle w:val="49"/>
        <w:ind w:left="200" w:leftChars="100" w:firstLine="0" w:firstLineChars="0"/>
        <w:jc w:val="both"/>
        <w:rPr>
          <w:rFonts w:hint="default"/>
        </w:rPr>
      </w:pPr>
      <w:r>
        <w:rPr>
          <w:rFonts w:hint="eastAsia"/>
        </w:rPr>
        <w:t>　本市</w:t>
      </w:r>
      <w:r>
        <w:rPr>
          <w:rFonts w:hint="eastAsia"/>
          <w:color w:val="000000" w:themeColor="text1"/>
        </w:rPr>
        <w:t>の小学校児童数は、</w:t>
      </w:r>
      <w:r>
        <w:rPr>
          <w:rFonts w:hint="eastAsia"/>
        </w:rPr>
        <w:t>平成</w:t>
      </w:r>
      <w:r>
        <w:rPr>
          <w:rFonts w:hint="eastAsia"/>
        </w:rPr>
        <w:t>2</w:t>
      </w:r>
      <w:r>
        <w:rPr>
          <w:rFonts w:hint="default"/>
        </w:rPr>
        <w:t>3</w:t>
      </w:r>
      <w:r>
        <w:rPr>
          <w:rFonts w:hint="eastAsia"/>
        </w:rPr>
        <w:t>年（</w:t>
      </w:r>
      <w:r>
        <w:rPr>
          <w:rFonts w:hint="eastAsia"/>
        </w:rPr>
        <w:t>2</w:t>
      </w:r>
      <w:r>
        <w:rPr>
          <w:rFonts w:hint="default"/>
        </w:rPr>
        <w:t>011</w:t>
      </w:r>
      <w:r>
        <w:rPr>
          <w:rFonts w:hint="eastAsia"/>
        </w:rPr>
        <w:t>年）に大きく増加したが、その後、毎年減少を続けており、令和</w:t>
      </w:r>
      <w:r>
        <w:rPr>
          <w:rFonts w:hint="eastAsia"/>
        </w:rPr>
        <w:t>2</w:t>
      </w:r>
      <w:r>
        <w:rPr>
          <w:rFonts w:hint="eastAsia"/>
        </w:rPr>
        <w:t>年（</w:t>
      </w:r>
      <w:r>
        <w:rPr>
          <w:rFonts w:hint="eastAsia"/>
        </w:rPr>
        <w:t>2</w:t>
      </w:r>
      <w:r>
        <w:rPr>
          <w:rFonts w:hint="default"/>
        </w:rPr>
        <w:t>020</w:t>
      </w:r>
      <w:r>
        <w:rPr>
          <w:rFonts w:hint="eastAsia"/>
        </w:rPr>
        <w:t>年）現在</w:t>
      </w:r>
      <w:r>
        <w:rPr>
          <w:rFonts w:hint="eastAsia"/>
        </w:rPr>
        <w:t>2,</w:t>
      </w:r>
      <w:r>
        <w:rPr>
          <w:rFonts w:hint="default"/>
        </w:rPr>
        <w:t>569</w:t>
      </w:r>
      <w:r>
        <w:rPr>
          <w:rFonts w:hint="eastAsia"/>
        </w:rPr>
        <w:t>人となっています。</w:t>
      </w:r>
    </w:p>
    <w:p>
      <w:pPr>
        <w:pStyle w:val="49"/>
        <w:ind w:left="200" w:leftChars="100" w:firstLine="0" w:firstLineChars="0"/>
        <w:jc w:val="both"/>
        <w:rPr>
          <w:rFonts w:hint="default"/>
        </w:rPr>
      </w:pPr>
    </w:p>
    <w:p>
      <w:pPr>
        <w:pStyle w:val="34"/>
        <w:ind w:left="300" w:leftChars="150"/>
        <w:jc w:val="center"/>
        <w:rPr>
          <w:rFonts w:hint="default"/>
        </w:rPr>
      </w:pPr>
      <w:r>
        <w:rPr>
          <w:rFonts w:hint="eastAsia" w:ascii="ＭＳ Ｐゴシック" w:hAnsi="ＭＳ Ｐゴシック" w:eastAsia="ＭＳ Ｐゴシック"/>
        </w:rPr>
        <w:drawing>
          <wp:inline distT="0" distB="0" distL="0" distR="0">
            <wp:extent cx="5486400" cy="2879725"/>
            <wp:effectExtent l="0" t="0" r="0" b="0"/>
            <wp:docPr id="1046" name="オブジェクト 0"/>
            <a:graphic xmlns:a="http://schemas.openxmlformats.org/drawingml/2006/main">
              <a:graphicData uri="http://schemas.openxmlformats.org/drawingml/2006/chart">
                <c:chart xmlns:c="http://schemas.openxmlformats.org/drawingml/2006/chart" r:id="rId29"/>
              </a:graphicData>
            </a:graphic>
          </wp:inline>
        </w:drawing>
      </w:r>
    </w:p>
    <w:p>
      <w:pPr>
        <w:pStyle w:val="49"/>
        <w:ind w:left="100" w:firstLine="200"/>
        <w:jc w:val="center"/>
        <w:rPr>
          <w:rFonts w:hint="default" w:ascii="ＭＳ Ｐゴシック" w:hAnsi="ＭＳ Ｐゴシック" w:eastAsia="ＭＳ Ｐゴシック"/>
        </w:rPr>
      </w:pPr>
      <w:bookmarkStart w:id="15" w:name="_Ref53557090"/>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4</w:t>
      </w:r>
      <w:r>
        <w:rPr>
          <w:rFonts w:hint="eastAsia"/>
        </w:rPr>
        <w:fldChar w:fldCharType="end"/>
      </w:r>
      <w:bookmarkEnd w:id="15"/>
      <w:r>
        <w:rPr>
          <w:rFonts w:hint="eastAsia" w:ascii="ＭＳ Ｐゴシック" w:hAnsi="ＭＳ Ｐゴシック" w:eastAsia="ＭＳ Ｐゴシック"/>
        </w:rPr>
        <w:t>（</w:t>
      </w:r>
      <w:r>
        <w:rPr>
          <w:rFonts w:hint="eastAsia" w:ascii="ＭＳ Ｐゴシック" w:hAnsi="ＭＳ Ｐゴシック" w:eastAsia="ＭＳ Ｐゴシック"/>
        </w:rPr>
        <w:t>1</w:t>
      </w:r>
      <w:r>
        <w:rPr>
          <w:rFonts w:hint="eastAsia" w:ascii="ＭＳ Ｐゴシック" w:hAnsi="ＭＳ Ｐゴシック" w:eastAsia="ＭＳ Ｐゴシック"/>
        </w:rPr>
        <w:t>）　小学校における児童数・学級数の推移（各年</w:t>
      </w:r>
      <w:r>
        <w:rPr>
          <w:rFonts w:hint="eastAsia" w:ascii="ＭＳ Ｐゴシック" w:hAnsi="ＭＳ Ｐゴシック" w:eastAsia="ＭＳ Ｐゴシック"/>
        </w:rPr>
        <w:t>5</w:t>
      </w:r>
      <w:r>
        <w:rPr>
          <w:rFonts w:hint="eastAsia" w:ascii="ＭＳ Ｐゴシック" w:hAnsi="ＭＳ Ｐゴシック" w:eastAsia="ＭＳ Ｐゴシック"/>
        </w:rPr>
        <w:t>月</w:t>
      </w:r>
      <w:r>
        <w:rPr>
          <w:rFonts w:hint="eastAsia" w:ascii="ＭＳ Ｐゴシック" w:hAnsi="ＭＳ Ｐゴシック" w:eastAsia="ＭＳ Ｐゴシック"/>
        </w:rPr>
        <w:t>1</w:t>
      </w:r>
      <w:r>
        <w:rPr>
          <w:rFonts w:hint="eastAsia" w:ascii="ＭＳ Ｐゴシック" w:hAnsi="ＭＳ Ｐゴシック" w:eastAsia="ＭＳ Ｐゴシック"/>
        </w:rPr>
        <w:t>日現在）</w:t>
      </w:r>
    </w:p>
    <w:p>
      <w:pPr>
        <w:pStyle w:val="49"/>
        <w:ind w:left="200" w:leftChars="100" w:firstLine="0" w:firstLineChars="0"/>
        <w:jc w:val="both"/>
        <w:rPr>
          <w:rFonts w:hint="default"/>
        </w:rPr>
      </w:pPr>
    </w:p>
    <w:p>
      <w:pPr>
        <w:pStyle w:val="34"/>
        <w:numPr>
          <w:ilvl w:val="0"/>
          <w:numId w:val="6"/>
        </w:numPr>
        <w:ind w:left="100" w:leftChars="50" w:firstLine="0"/>
        <w:rPr>
          <w:rFonts w:hint="default"/>
          <w:b w:val="1"/>
        </w:rPr>
      </w:pPr>
      <w:r>
        <w:rPr>
          <w:rFonts w:hint="eastAsia"/>
          <w:b w:val="1"/>
        </w:rPr>
        <w:t>中学校</w:t>
      </w:r>
    </w:p>
    <w:p>
      <w:pPr>
        <w:pStyle w:val="49"/>
        <w:ind w:left="200" w:leftChars="100" w:firstLine="0" w:firstLineChars="0"/>
        <w:jc w:val="both"/>
        <w:rPr>
          <w:rFonts w:hint="default"/>
        </w:rPr>
      </w:pPr>
      <w:r>
        <w:rPr>
          <w:rFonts w:hint="eastAsia"/>
        </w:rPr>
        <w:t>　本市</w:t>
      </w:r>
      <w:r>
        <w:rPr>
          <w:rFonts w:hint="eastAsia"/>
          <w:color w:val="000000" w:themeColor="text1"/>
        </w:rPr>
        <w:t>の中学校生徒数は、平成</w:t>
      </w:r>
      <w:r>
        <w:rPr>
          <w:rFonts w:hint="eastAsia"/>
          <w:color w:val="000000" w:themeColor="text1"/>
        </w:rPr>
        <w:t>2</w:t>
      </w:r>
      <w:r>
        <w:rPr>
          <w:rFonts w:hint="default"/>
          <w:color w:val="000000" w:themeColor="text1"/>
        </w:rPr>
        <w:t>5</w:t>
      </w:r>
      <w:r>
        <w:rPr>
          <w:rFonts w:hint="eastAsia"/>
          <w:color w:val="000000" w:themeColor="text1"/>
        </w:rPr>
        <w:t>年（</w:t>
      </w:r>
      <w:r>
        <w:rPr>
          <w:rFonts w:hint="eastAsia"/>
          <w:color w:val="000000" w:themeColor="text1"/>
        </w:rPr>
        <w:t>2</w:t>
      </w:r>
      <w:r>
        <w:rPr>
          <w:rFonts w:hint="default"/>
          <w:color w:val="000000" w:themeColor="text1"/>
        </w:rPr>
        <w:t>013</w:t>
      </w:r>
      <w:r>
        <w:rPr>
          <w:rFonts w:hint="eastAsia"/>
          <w:color w:val="000000" w:themeColor="text1"/>
        </w:rPr>
        <w:t>年）をピークに</w:t>
      </w:r>
      <w:r>
        <w:rPr>
          <w:rFonts w:hint="eastAsia"/>
        </w:rPr>
        <w:t>毎年減少を続けており、令和</w:t>
      </w:r>
      <w:r>
        <w:rPr>
          <w:rFonts w:hint="eastAsia"/>
        </w:rPr>
        <w:t>2</w:t>
      </w:r>
      <w:r>
        <w:rPr>
          <w:rFonts w:hint="eastAsia"/>
        </w:rPr>
        <w:t>年（</w:t>
      </w:r>
      <w:r>
        <w:rPr>
          <w:rFonts w:hint="eastAsia"/>
        </w:rPr>
        <w:t>2</w:t>
      </w:r>
      <w:r>
        <w:rPr>
          <w:rFonts w:hint="default"/>
        </w:rPr>
        <w:t>020</w:t>
      </w:r>
      <w:r>
        <w:rPr>
          <w:rFonts w:hint="eastAsia"/>
        </w:rPr>
        <w:t>年）現在</w:t>
      </w:r>
      <w:r>
        <w:rPr>
          <w:rFonts w:hint="eastAsia"/>
        </w:rPr>
        <w:t>1,</w:t>
      </w:r>
      <w:r>
        <w:rPr>
          <w:rFonts w:hint="default"/>
        </w:rPr>
        <w:t>332</w:t>
      </w:r>
      <w:r>
        <w:rPr>
          <w:rFonts w:hint="eastAsia"/>
        </w:rPr>
        <w:t>人となっています。</w:t>
      </w:r>
    </w:p>
    <w:p>
      <w:pPr>
        <w:pStyle w:val="49"/>
        <w:ind w:left="200" w:leftChars="100" w:firstLine="0" w:firstLineChars="0"/>
        <w:jc w:val="both"/>
        <w:rPr>
          <w:rFonts w:hint="default"/>
        </w:rPr>
      </w:pPr>
    </w:p>
    <w:p>
      <w:pPr>
        <w:pStyle w:val="34"/>
        <w:ind w:left="300" w:leftChars="150"/>
        <w:rPr>
          <w:rFonts w:hint="default"/>
        </w:rPr>
      </w:pPr>
      <w:r>
        <w:rPr>
          <w:rFonts w:hint="eastAsia" w:ascii="ＭＳ Ｐゴシック" w:hAnsi="ＭＳ Ｐゴシック" w:eastAsia="ＭＳ Ｐゴシック"/>
        </w:rPr>
        <w:drawing>
          <wp:inline distT="0" distB="0" distL="0" distR="0">
            <wp:extent cx="5486400" cy="2879725"/>
            <wp:effectExtent l="0" t="0" r="0" b="0"/>
            <wp:docPr id="1047" name="オブジェクト 0"/>
            <a:graphic xmlns:a="http://schemas.openxmlformats.org/drawingml/2006/main">
              <a:graphicData uri="http://schemas.openxmlformats.org/drawingml/2006/chart">
                <c:chart xmlns:c="http://schemas.openxmlformats.org/drawingml/2006/chart" r:id="rId30"/>
              </a:graphicData>
            </a:graphic>
          </wp:inline>
        </w:drawing>
      </w:r>
    </w:p>
    <w:p>
      <w:pPr>
        <w:pStyle w:val="49"/>
        <w:ind w:left="100" w:firstLine="200"/>
        <w:jc w:val="center"/>
        <w:rPr>
          <w:rFonts w:hint="default"/>
          <w:b w:val="1"/>
        </w:rPr>
      </w:pPr>
      <w:r>
        <w:rPr>
          <w:rFonts w:hint="eastAsia"/>
        </w:rPr>
        <w:fldChar w:fldCharType="begin"/>
      </w:r>
      <w:r>
        <w:rPr>
          <w:rFonts w:hint="default" w:ascii="ＭＳ Ｐゴシック" w:hAnsi="ＭＳ Ｐゴシック" w:eastAsia="ＭＳ Ｐゴシック"/>
        </w:rPr>
        <w:instrText xml:space="preserve"> REF _Ref53557090 \h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4</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eastAsia" w:ascii="ＭＳ Ｐゴシック" w:hAnsi="ＭＳ Ｐゴシック" w:eastAsia="ＭＳ Ｐゴシック"/>
        </w:rPr>
        <w:t>）　中学校における生徒数・学級数の推移（各年</w:t>
      </w:r>
      <w:r>
        <w:rPr>
          <w:rFonts w:hint="eastAsia" w:ascii="ＭＳ Ｐゴシック" w:hAnsi="ＭＳ Ｐゴシック" w:eastAsia="ＭＳ Ｐゴシック"/>
        </w:rPr>
        <w:t>5</w:t>
      </w:r>
      <w:r>
        <w:rPr>
          <w:rFonts w:hint="eastAsia" w:ascii="ＭＳ Ｐゴシック" w:hAnsi="ＭＳ Ｐゴシック" w:eastAsia="ＭＳ Ｐゴシック"/>
        </w:rPr>
        <w:t>月</w:t>
      </w:r>
      <w:r>
        <w:rPr>
          <w:rFonts w:hint="eastAsia" w:ascii="ＭＳ Ｐゴシック" w:hAnsi="ＭＳ Ｐゴシック" w:eastAsia="ＭＳ Ｐゴシック"/>
        </w:rPr>
        <w:t>1</w:t>
      </w:r>
      <w:r>
        <w:rPr>
          <w:rFonts w:hint="eastAsia" w:ascii="ＭＳ Ｐゴシック" w:hAnsi="ＭＳ Ｐゴシック" w:eastAsia="ＭＳ Ｐゴシック"/>
        </w:rPr>
        <w:t>日現在）</w:t>
      </w:r>
    </w:p>
    <w:p>
      <w:pPr>
        <w:pStyle w:val="34"/>
        <w:numPr>
          <w:ilvl w:val="0"/>
          <w:numId w:val="6"/>
        </w:numPr>
        <w:ind w:left="100" w:leftChars="50" w:firstLine="0"/>
        <w:rPr>
          <w:rFonts w:hint="default"/>
          <w:b w:val="1"/>
        </w:rPr>
      </w:pPr>
      <w:r>
        <w:rPr>
          <w:rFonts w:hint="eastAsia"/>
          <w:b w:val="1"/>
        </w:rPr>
        <w:t>幼稚園</w:t>
      </w:r>
    </w:p>
    <w:p>
      <w:pPr>
        <w:pStyle w:val="49"/>
        <w:ind w:left="200" w:leftChars="100" w:firstLine="0" w:firstLineChars="0"/>
        <w:jc w:val="both"/>
        <w:rPr>
          <w:rFonts w:hint="default"/>
        </w:rPr>
      </w:pPr>
      <w:r>
        <w:rPr>
          <w:rFonts w:hint="eastAsia"/>
        </w:rPr>
        <w:t>　本市の</w:t>
      </w:r>
      <w:r>
        <w:rPr>
          <w:rFonts w:hint="eastAsia"/>
          <w:color w:val="000000" w:themeColor="text1"/>
        </w:rPr>
        <w:t>幼稚園園児数は</w:t>
      </w:r>
      <w:r>
        <w:rPr>
          <w:rFonts w:hint="eastAsia"/>
        </w:rPr>
        <w:t>、平成</w:t>
      </w:r>
      <w:r>
        <w:rPr>
          <w:rFonts w:hint="eastAsia"/>
        </w:rPr>
        <w:t>2</w:t>
      </w:r>
      <w:r>
        <w:rPr>
          <w:rFonts w:hint="default"/>
        </w:rPr>
        <w:t>2</w:t>
      </w:r>
      <w:r>
        <w:rPr>
          <w:rFonts w:hint="eastAsia"/>
        </w:rPr>
        <w:t>年（</w:t>
      </w:r>
      <w:r>
        <w:rPr>
          <w:rFonts w:hint="eastAsia"/>
        </w:rPr>
        <w:t>2</w:t>
      </w:r>
      <w:r>
        <w:rPr>
          <w:rFonts w:hint="default"/>
        </w:rPr>
        <w:t>010</w:t>
      </w:r>
      <w:r>
        <w:rPr>
          <w:rFonts w:hint="eastAsia"/>
        </w:rPr>
        <w:t>年）から毎年減少を続けており、令和</w:t>
      </w:r>
      <w:r>
        <w:rPr>
          <w:rFonts w:hint="eastAsia"/>
        </w:rPr>
        <w:t>2</w:t>
      </w:r>
      <w:r>
        <w:rPr>
          <w:rFonts w:hint="eastAsia"/>
        </w:rPr>
        <w:t>年（</w:t>
      </w:r>
      <w:r>
        <w:rPr>
          <w:rFonts w:hint="eastAsia"/>
        </w:rPr>
        <w:t>2</w:t>
      </w:r>
      <w:r>
        <w:rPr>
          <w:rFonts w:hint="default"/>
        </w:rPr>
        <w:t>020</w:t>
      </w:r>
      <w:r>
        <w:rPr>
          <w:rFonts w:hint="eastAsia"/>
        </w:rPr>
        <w:t>年）現在</w:t>
      </w:r>
      <w:r>
        <w:rPr>
          <w:rFonts w:hint="eastAsia"/>
        </w:rPr>
        <w:t>1</w:t>
      </w:r>
      <w:r>
        <w:rPr>
          <w:rFonts w:hint="default"/>
        </w:rPr>
        <w:t>92</w:t>
      </w:r>
      <w:r>
        <w:rPr>
          <w:rFonts w:hint="eastAsia"/>
        </w:rPr>
        <w:t>人となっており、平成</w:t>
      </w:r>
      <w:r>
        <w:rPr>
          <w:rFonts w:hint="eastAsia"/>
        </w:rPr>
        <w:t>2</w:t>
      </w:r>
      <w:r>
        <w:rPr>
          <w:rFonts w:hint="default"/>
        </w:rPr>
        <w:t>2</w:t>
      </w:r>
      <w:r>
        <w:rPr>
          <w:rFonts w:hint="eastAsia"/>
        </w:rPr>
        <w:t>年（</w:t>
      </w:r>
      <w:r>
        <w:rPr>
          <w:rFonts w:hint="eastAsia"/>
        </w:rPr>
        <w:t>2</w:t>
      </w:r>
      <w:r>
        <w:rPr>
          <w:rFonts w:hint="default"/>
        </w:rPr>
        <w:t>010</w:t>
      </w:r>
      <w:r>
        <w:rPr>
          <w:rFonts w:hint="eastAsia"/>
        </w:rPr>
        <w:t>年）の半分以下となっています。</w:t>
      </w:r>
    </w:p>
    <w:p>
      <w:pPr>
        <w:pStyle w:val="49"/>
        <w:ind w:left="200" w:leftChars="100" w:firstLine="0" w:firstLineChars="0"/>
        <w:jc w:val="both"/>
        <w:rPr>
          <w:rFonts w:hint="default"/>
        </w:rPr>
      </w:pPr>
    </w:p>
    <w:p>
      <w:pPr>
        <w:pStyle w:val="34"/>
        <w:ind w:left="300" w:leftChars="150"/>
        <w:rPr>
          <w:rFonts w:hint="default"/>
        </w:rPr>
      </w:pPr>
      <w:r>
        <w:rPr>
          <w:rFonts w:hint="eastAsia" w:ascii="ＭＳ Ｐゴシック" w:hAnsi="ＭＳ Ｐゴシック" w:eastAsia="ＭＳ Ｐゴシック"/>
        </w:rPr>
        <w:drawing>
          <wp:inline distT="0" distB="0" distL="0" distR="0">
            <wp:extent cx="5486400" cy="2879725"/>
            <wp:effectExtent l="0" t="0" r="0" b="0"/>
            <wp:docPr id="1048" name="オブジェクト 0"/>
            <a:graphic xmlns:a="http://schemas.openxmlformats.org/drawingml/2006/main">
              <a:graphicData uri="http://schemas.openxmlformats.org/drawingml/2006/chart">
                <c:chart xmlns:c="http://schemas.openxmlformats.org/drawingml/2006/chart" r:id="rId31"/>
              </a:graphicData>
            </a:graphic>
          </wp:inline>
        </w:drawing>
      </w:r>
    </w:p>
    <w:p>
      <w:pPr>
        <w:pStyle w:val="49"/>
        <w:ind w:left="100" w:firstLine="20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_Ref53557090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4</w:t>
      </w:r>
      <w:r>
        <w:rPr>
          <w:rFonts w:hint="eastAsia"/>
        </w:rPr>
        <w:fldChar w:fldCharType="end"/>
      </w:r>
      <w:r>
        <w:rPr>
          <w:rFonts w:hint="eastAsia" w:ascii="ＭＳ Ｐゴシック" w:hAnsi="ＭＳ Ｐゴシック" w:eastAsia="ＭＳ Ｐゴシック"/>
        </w:rPr>
        <w:t>（</w:t>
      </w:r>
      <w:r>
        <w:rPr>
          <w:rFonts w:hint="eastAsia" w:ascii="ＭＳ Ｐゴシック" w:hAnsi="ＭＳ Ｐゴシック" w:eastAsia="ＭＳ Ｐゴシック"/>
        </w:rPr>
        <w:t>3</w:t>
      </w:r>
      <w:r>
        <w:rPr>
          <w:rFonts w:hint="eastAsia" w:ascii="ＭＳ Ｐゴシック" w:hAnsi="ＭＳ Ｐゴシック" w:eastAsia="ＭＳ Ｐゴシック"/>
        </w:rPr>
        <w:t>）　幼稚園における園児数・学級数の推移</w:t>
      </w:r>
    </w:p>
    <w:p>
      <w:pPr>
        <w:pStyle w:val="49"/>
        <w:ind w:left="200" w:leftChars="100" w:firstLine="0" w:firstLineChars="0"/>
        <w:jc w:val="both"/>
        <w:rPr>
          <w:rFonts w:hint="default"/>
        </w:rPr>
      </w:pPr>
    </w:p>
    <w:p>
      <w:pPr>
        <w:pStyle w:val="49"/>
        <w:ind w:left="200" w:leftChars="100" w:firstLine="0" w:firstLineChars="0"/>
        <w:jc w:val="both"/>
        <w:rPr>
          <w:rFonts w:hint="default"/>
        </w:rPr>
      </w:pPr>
    </w:p>
    <w:p>
      <w:pPr>
        <w:pStyle w:val="0"/>
        <w:widowControl w:val="1"/>
        <w:jc w:val="left"/>
        <w:rPr>
          <w:rFonts w:hint="default"/>
          <w:color w:val="000000" w:themeColor="text1"/>
          <w:sz w:val="24"/>
        </w:rPr>
      </w:pPr>
      <w:r>
        <w:rPr>
          <w:rFonts w:hint="default"/>
          <w:color w:val="000000" w:themeColor="text1"/>
        </w:rPr>
        <w:br w:type="page"/>
      </w:r>
    </w:p>
    <w:p>
      <w:pPr>
        <w:pStyle w:val="3"/>
        <w:rPr>
          <w:rFonts w:hint="default"/>
        </w:rPr>
      </w:pPr>
      <w:r>
        <w:rPr>
          <w:rFonts w:hint="eastAsia"/>
          <w:color w:val="000000" w:themeColor="text1"/>
        </w:rPr>
        <w:t>学校施設の配置状況</w:t>
      </w:r>
    </w:p>
    <w:p>
      <w:pPr>
        <w:pStyle w:val="49"/>
        <w:ind w:left="200" w:leftChars="100" w:firstLine="0" w:firstLineChars="0"/>
        <w:jc w:val="both"/>
        <w:rPr>
          <w:rFonts w:hint="default"/>
        </w:rPr>
      </w:pPr>
      <w:r>
        <w:rPr>
          <w:rFonts w:hint="eastAsia"/>
        </w:rPr>
        <w:t>　本計画で対象とする学校施設の配置状況は、以下のとおりです。</w:t>
      </w:r>
    </w:p>
    <w:p>
      <w:pPr>
        <w:pStyle w:val="49"/>
        <w:ind w:left="200" w:leftChars="100" w:firstLine="0" w:firstLineChars="0"/>
        <w:jc w:val="both"/>
        <w:rPr>
          <w:rFonts w:hint="default"/>
        </w:rPr>
      </w:pPr>
    </w:p>
    <w:tbl>
      <w:tblPr>
        <w:tblStyle w:val="57"/>
        <w:tblW w:w="8826" w:type="dxa"/>
        <w:tblInd w:w="279" w:type="dxa"/>
        <w:tblLayout w:type="fixed"/>
        <w:tblLook w:firstRow="1" w:lastRow="0" w:firstColumn="1" w:lastColumn="0" w:noHBand="0" w:noVBand="1" w:val="04A0"/>
      </w:tblPr>
      <w:tblGrid>
        <w:gridCol w:w="8835"/>
      </w:tblGrid>
      <w:tr>
        <w:trPr>
          <w:trHeight w:val="5760" w:hRule="atLeast"/>
        </w:trPr>
        <w:tc>
          <w:tcPr>
            <w:tcW w:w="8826" w:type="dxa"/>
            <w:vAlign w:val="top"/>
          </w:tcPr>
          <w:p>
            <w:pPr>
              <w:pStyle w:val="0"/>
              <w:rPr>
                <w:rFonts w:hint="default"/>
              </w:rPr>
            </w:pPr>
            <w:r>
              <w:rPr>
                <w:rFonts w:hint="eastAsia"/>
              </w:rPr>
              <w:drawing>
                <wp:inline distT="0" distB="0" distL="0" distR="0">
                  <wp:extent cx="5473065" cy="3759200"/>
                  <wp:effectExtent l="0" t="0" r="0" b="0"/>
                  <wp:docPr id="1049" name="図 257"/>
                  <a:graphic xmlns:a="http://schemas.openxmlformats.org/drawingml/2006/main">
                    <a:graphicData uri="http://schemas.openxmlformats.org/drawingml/2006/picture">
                      <pic:pic xmlns:pic="http://schemas.openxmlformats.org/drawingml/2006/picture">
                        <pic:nvPicPr>
                          <pic:cNvPr id="1049" name="図 257"/>
                          <pic:cNvPicPr>
                            <a:picLocks noChangeAspect="1" noChangeArrowheads="1"/>
                          </pic:cNvPicPr>
                        </pic:nvPicPr>
                        <pic:blipFill>
                          <a:blip r:embed="rId32"/>
                          <a:stretch>
                            <a:fillRect/>
                          </a:stretch>
                        </pic:blipFill>
                        <pic:spPr>
                          <a:xfrm>
                            <a:off x="0" y="0"/>
                            <a:ext cx="5473065" cy="3759200"/>
                          </a:xfrm>
                          <a:prstGeom prst="rect">
                            <a:avLst/>
                          </a:prstGeom>
                          <a:noFill/>
                          <a:ln>
                            <a:noFill/>
                          </a:ln>
                        </pic:spPr>
                      </pic:pic>
                    </a:graphicData>
                  </a:graphic>
                </wp:inline>
              </w:drawing>
            </w:r>
          </w:p>
        </w:tc>
      </w:tr>
      <w:tr>
        <w:trPr/>
        <w:tc>
          <w:tcPr>
            <w:tcW w:w="8826" w:type="dxa"/>
            <w:vAlign w:val="top"/>
          </w:tcPr>
          <w:p>
            <w:pPr>
              <w:pStyle w:val="33"/>
              <w:rPr>
                <w:rFonts w:hint="default"/>
                <w:b w:val="0"/>
              </w:rPr>
            </w:pPr>
            <w:r>
              <w:rPr>
                <w:rFonts w:hint="default" w:ascii="ＭＳ Ｐゴシック" w:hAnsi="ＭＳ Ｐゴシック" w:eastAsia="ＭＳ Ｐゴシック"/>
                <w:b w:val="0"/>
              </w:rPr>
              <w:t>図</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図</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5</w:t>
            </w:r>
            <w:r>
              <w:rPr>
                <w:rFonts w:hint="eastAsia"/>
              </w:rPr>
              <w:fldChar w:fldCharType="end"/>
            </w:r>
            <w:r>
              <w:rPr>
                <w:rFonts w:hint="eastAsia"/>
                <w:b w:val="0"/>
              </w:rPr>
              <w:t>　学校施設位置図</w:t>
            </w:r>
          </w:p>
        </w:tc>
      </w:tr>
    </w:tbl>
    <w:p>
      <w:pPr>
        <w:pStyle w:val="49"/>
        <w:ind w:left="200" w:leftChars="100" w:firstLine="0" w:firstLineChars="0"/>
        <w:jc w:val="both"/>
        <w:rPr>
          <w:rFonts w:hint="default"/>
        </w:rPr>
      </w:pPr>
    </w:p>
    <w:p>
      <w:pPr>
        <w:pStyle w:val="49"/>
        <w:ind w:left="200" w:leftChars="100" w:firstLine="0" w:firstLineChars="0"/>
        <w:jc w:val="both"/>
        <w:rPr>
          <w:rFonts w:hint="default"/>
        </w:rPr>
      </w:pPr>
    </w:p>
    <w:p>
      <w:pPr>
        <w:pStyle w:val="49"/>
        <w:ind w:left="200" w:leftChars="100" w:firstLine="0" w:firstLineChars="0"/>
        <w:jc w:val="both"/>
        <w:rPr>
          <w:rFonts w:hint="default"/>
          <w:color w:val="000000" w:themeColor="text1"/>
          <w:sz w:val="24"/>
        </w:rPr>
      </w:pPr>
    </w:p>
    <w:p>
      <w:pPr>
        <w:pStyle w:val="0"/>
        <w:widowControl w:val="1"/>
        <w:jc w:val="left"/>
        <w:rPr>
          <w:rFonts w:hint="default"/>
          <w:color w:val="000000" w:themeColor="text1"/>
          <w:sz w:val="24"/>
        </w:rPr>
      </w:pPr>
      <w:r>
        <w:rPr>
          <w:rFonts w:hint="default"/>
          <w:color w:val="000000" w:themeColor="text1"/>
        </w:rPr>
        <w:br w:type="page"/>
      </w:r>
    </w:p>
    <w:p>
      <w:pPr>
        <w:pStyle w:val="3"/>
        <w:rPr>
          <w:rFonts w:hint="default"/>
        </w:rPr>
      </w:pPr>
      <w:r>
        <w:rPr>
          <w:rFonts w:hint="eastAsia"/>
          <w:color w:val="000000" w:themeColor="text1"/>
        </w:rPr>
        <w:t>施設関連経費の推移</w:t>
      </w:r>
    </w:p>
    <w:p>
      <w:pPr>
        <w:pStyle w:val="49"/>
        <w:ind w:left="200" w:leftChars="100" w:firstLine="0" w:firstLineChars="0"/>
        <w:jc w:val="both"/>
        <w:rPr>
          <w:rFonts w:hint="default"/>
        </w:rPr>
      </w:pPr>
      <w:r>
        <w:rPr>
          <w:rFonts w:hint="eastAsia"/>
        </w:rPr>
        <w:t>　平成</w:t>
      </w:r>
      <w:r>
        <w:rPr>
          <w:rFonts w:hint="eastAsia"/>
        </w:rPr>
        <w:t>2</w:t>
      </w:r>
      <w:r>
        <w:rPr>
          <w:rFonts w:hint="default"/>
        </w:rPr>
        <w:t>7</w:t>
      </w:r>
      <w:r>
        <w:rPr>
          <w:rFonts w:hint="eastAsia"/>
        </w:rPr>
        <w:t>年度（</w:t>
      </w:r>
      <w:r>
        <w:rPr>
          <w:rFonts w:hint="eastAsia"/>
        </w:rPr>
        <w:t>2</w:t>
      </w:r>
      <w:r>
        <w:rPr>
          <w:rFonts w:hint="default"/>
        </w:rPr>
        <w:t>015</w:t>
      </w:r>
      <w:r>
        <w:rPr>
          <w:rFonts w:hint="eastAsia"/>
        </w:rPr>
        <w:t>年度）から令和元年度（</w:t>
      </w:r>
      <w:r>
        <w:rPr>
          <w:rFonts w:hint="eastAsia"/>
        </w:rPr>
        <w:t>2</w:t>
      </w:r>
      <w:r>
        <w:rPr>
          <w:rFonts w:hint="default"/>
        </w:rPr>
        <w:t>019</w:t>
      </w:r>
      <w:r>
        <w:rPr>
          <w:rFonts w:hint="eastAsia"/>
        </w:rPr>
        <w:t>年度）までの学校施設の施設関連経費は、</w:t>
      </w:r>
      <w:r>
        <w:rPr>
          <w:rFonts w:hint="eastAsia"/>
          <w:color w:val="000000" w:themeColor="text1"/>
        </w:rPr>
        <w:t>増改築工事の実施や、国の交付金の動向に左右されるため、年度によってばらつきがあり、</w:t>
      </w:r>
      <w:r>
        <w:rPr>
          <w:rFonts w:hint="eastAsia"/>
        </w:rPr>
        <w:t>約</w:t>
      </w:r>
      <w:r>
        <w:rPr>
          <w:rFonts w:hint="eastAsia"/>
        </w:rPr>
        <w:t>1.</w:t>
      </w:r>
      <w:r>
        <w:rPr>
          <w:rFonts w:hint="default"/>
        </w:rPr>
        <w:t>4</w:t>
      </w:r>
      <w:r>
        <w:rPr>
          <w:rFonts w:hint="eastAsia"/>
        </w:rPr>
        <w:t>億円から</w:t>
      </w:r>
      <w:r>
        <w:rPr>
          <w:rFonts w:hint="eastAsia"/>
        </w:rPr>
        <w:t>1</w:t>
      </w:r>
      <w:r>
        <w:rPr>
          <w:rFonts w:hint="default"/>
        </w:rPr>
        <w:t>2</w:t>
      </w:r>
      <w:r>
        <w:rPr>
          <w:rFonts w:hint="eastAsia"/>
        </w:rPr>
        <w:t>.5</w:t>
      </w:r>
      <w:r>
        <w:rPr>
          <w:rFonts w:hint="eastAsia"/>
        </w:rPr>
        <w:t>億円で平均は</w:t>
      </w:r>
      <w:r>
        <w:rPr>
          <w:rFonts w:hint="eastAsia"/>
        </w:rPr>
        <w:t>7</w:t>
      </w:r>
      <w:r>
        <w:rPr>
          <w:rFonts w:hint="eastAsia"/>
          <w:color w:val="000000" w:themeColor="text1"/>
        </w:rPr>
        <w:t>.</w:t>
      </w:r>
      <w:r>
        <w:rPr>
          <w:rFonts w:hint="default"/>
          <w:color w:val="000000" w:themeColor="text1"/>
        </w:rPr>
        <w:t>0</w:t>
      </w:r>
      <w:r>
        <w:rPr>
          <w:rFonts w:hint="eastAsia"/>
        </w:rPr>
        <w:t>億円となっています。</w:t>
      </w:r>
    </w:p>
    <w:p>
      <w:pPr>
        <w:pStyle w:val="49"/>
        <w:ind w:left="200" w:leftChars="100" w:firstLine="0" w:firstLineChars="0"/>
        <w:jc w:val="both"/>
        <w:rPr>
          <w:rFonts w:hint="default"/>
        </w:rPr>
      </w:pPr>
    </w:p>
    <w:p>
      <w:pPr>
        <w:pStyle w:val="33"/>
        <w:ind w:left="200" w:leftChars="10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4</w:t>
      </w:r>
      <w:r>
        <w:rPr>
          <w:rFonts w:hint="eastAsia"/>
        </w:rPr>
        <w:fldChar w:fldCharType="end"/>
      </w:r>
      <w:r>
        <w:rPr>
          <w:rFonts w:hint="eastAsia" w:ascii="ＭＳ Ｐゴシック" w:hAnsi="ＭＳ Ｐゴシック" w:eastAsia="ＭＳ Ｐゴシック"/>
          <w:b w:val="0"/>
        </w:rPr>
        <w:t>　</w:t>
      </w:r>
      <w:r>
        <w:rPr>
          <w:rFonts w:hint="eastAsia" w:ascii="ＭＳ Ｐゴシック" w:hAnsi="ＭＳ Ｐゴシック" w:eastAsia="ＭＳ Ｐゴシック"/>
          <w:b w:val="0"/>
          <w:color w:val="000000" w:themeColor="text1"/>
        </w:rPr>
        <w:t>施設関連経費の推移</w:t>
      </w:r>
    </w:p>
    <w:p>
      <w:pPr>
        <w:pStyle w:val="0"/>
        <w:ind w:left="426" w:leftChars="213" w:right="140" w:rightChars="70"/>
        <w:jc w:val="right"/>
        <w:rPr>
          <w:rFonts w:hint="default"/>
        </w:rPr>
      </w:pPr>
      <w:r>
        <w:rPr>
          <w:rFonts w:hint="eastAsia" w:ascii="ＭＳ Ｐゴシック" w:hAnsi="ＭＳ Ｐゴシック" w:eastAsia="ＭＳ Ｐゴシック"/>
          <w:color w:val="000000"/>
          <w:kern w:val="0"/>
          <w:sz w:val="18"/>
        </w:rPr>
        <w:t>（単位：千円）</w:t>
      </w:r>
    </w:p>
    <w:tbl>
      <w:tblPr>
        <w:tblStyle w:val="11"/>
        <w:tblW w:w="4858" w:type="pct"/>
        <w:jc w:val="right"/>
        <w:tblInd w:w="0" w:type="dxa"/>
        <w:tblLayout w:type="fixed"/>
        <w:tblCellMar>
          <w:left w:w="99" w:type="dxa"/>
          <w:right w:w="99" w:type="dxa"/>
        </w:tblCellMar>
        <w:tblLook w:firstRow="1" w:lastRow="0" w:firstColumn="1" w:lastColumn="0" w:noHBand="0" w:noVBand="1" w:val="04A0"/>
      </w:tblPr>
      <w:tblGrid>
        <w:gridCol w:w="1268"/>
        <w:gridCol w:w="1271"/>
        <w:gridCol w:w="1268"/>
        <w:gridCol w:w="1268"/>
        <w:gridCol w:w="1268"/>
        <w:gridCol w:w="1268"/>
        <w:gridCol w:w="1182"/>
      </w:tblGrid>
      <w:tr>
        <w:trPr>
          <w:trHeight w:val="697" w:hRule="atLeast"/>
        </w:trPr>
        <w:tc>
          <w:tcPr>
            <w:tcW w:w="721" w:type="pct"/>
            <w:tcBorders>
              <w:top w:val="single" w:color="auto" w:sz="8" w:space="0"/>
              <w:left w:val="single" w:color="auto" w:sz="8" w:space="0"/>
              <w:bottom w:val="single" w:color="auto" w:sz="4" w:space="0"/>
              <w:right w:val="single" w:color="auto" w:sz="4" w:space="0"/>
              <w:tl2br w:val="single" w:color="auto" w:sz="4" w:space="0"/>
              <w:tr2bl w:val="none" w:color="auto" w:sz="0" w:space="0"/>
            </w:tcBorders>
            <w:shd w:val="clear" w:color="auto" w:themeFill="background1" w:themeFillTint="FF" w:themeFillShade="F2"/>
            <w:vAlign w:val="center"/>
          </w:tcPr>
          <w:p>
            <w:pPr>
              <w:pStyle w:val="0"/>
              <w:widowControl w:val="1"/>
              <w:snapToGrid w:val="0"/>
              <w:contextualSpacing w:val="1"/>
              <w:rPr>
                <w:rFonts w:hint="default" w:ascii="ＭＳ Ｐゴシック" w:hAnsi="ＭＳ Ｐゴシック" w:eastAsia="ＭＳ Ｐゴシック"/>
                <w:color w:val="000000"/>
                <w:kern w:val="0"/>
                <w:sz w:val="18"/>
              </w:rPr>
            </w:pPr>
          </w:p>
        </w:tc>
        <w:tc>
          <w:tcPr>
            <w:tcW w:w="723" w:type="pct"/>
            <w:tcBorders>
              <w:top w:val="single" w:color="auto" w:sz="8" w:space="0"/>
              <w:left w:val="nil"/>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平成</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7</w:t>
            </w:r>
            <w:r>
              <w:rPr>
                <w:rFonts w:hint="eastAsia" w:ascii="ＭＳ Ｐゴシック" w:hAnsi="ＭＳ Ｐゴシック" w:eastAsia="ＭＳ Ｐゴシック"/>
                <w:color w:val="000000"/>
                <w:kern w:val="0"/>
                <w:sz w:val="18"/>
              </w:rPr>
              <w:t>年度</w:t>
            </w:r>
          </w:p>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015</w:t>
            </w:r>
            <w:r>
              <w:rPr>
                <w:rFonts w:hint="eastAsia" w:ascii="ＭＳ Ｐゴシック" w:hAnsi="ＭＳ Ｐゴシック" w:eastAsia="ＭＳ Ｐゴシック"/>
                <w:color w:val="000000"/>
                <w:kern w:val="0"/>
                <w:sz w:val="18"/>
              </w:rPr>
              <w:t>年度）</w:t>
            </w:r>
          </w:p>
        </w:tc>
        <w:tc>
          <w:tcPr>
            <w:tcW w:w="721" w:type="pct"/>
            <w:tcBorders>
              <w:top w:val="single" w:color="auto" w:sz="8" w:space="0"/>
              <w:left w:val="nil"/>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平成</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8</w:t>
            </w:r>
            <w:r>
              <w:rPr>
                <w:rFonts w:hint="eastAsia" w:ascii="ＭＳ Ｐゴシック" w:hAnsi="ＭＳ Ｐゴシック" w:eastAsia="ＭＳ Ｐゴシック"/>
                <w:color w:val="000000"/>
                <w:kern w:val="0"/>
                <w:sz w:val="18"/>
              </w:rPr>
              <w:t>年度</w:t>
            </w:r>
          </w:p>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016</w:t>
            </w:r>
            <w:r>
              <w:rPr>
                <w:rFonts w:hint="eastAsia" w:ascii="ＭＳ Ｐゴシック" w:hAnsi="ＭＳ Ｐゴシック" w:eastAsia="ＭＳ Ｐゴシック"/>
                <w:color w:val="000000"/>
                <w:kern w:val="0"/>
                <w:sz w:val="18"/>
              </w:rPr>
              <w:t>年度）</w:t>
            </w:r>
          </w:p>
        </w:tc>
        <w:tc>
          <w:tcPr>
            <w:tcW w:w="721" w:type="pct"/>
            <w:tcBorders>
              <w:top w:val="single" w:color="auto" w:sz="8" w:space="0"/>
              <w:left w:val="nil"/>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平成</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9</w:t>
            </w:r>
            <w:r>
              <w:rPr>
                <w:rFonts w:hint="eastAsia" w:ascii="ＭＳ Ｐゴシック" w:hAnsi="ＭＳ Ｐゴシック" w:eastAsia="ＭＳ Ｐゴシック"/>
                <w:color w:val="000000"/>
                <w:kern w:val="0"/>
                <w:sz w:val="18"/>
              </w:rPr>
              <w:t>年度</w:t>
            </w:r>
          </w:p>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017</w:t>
            </w:r>
            <w:r>
              <w:rPr>
                <w:rFonts w:hint="eastAsia" w:ascii="ＭＳ Ｐゴシック" w:hAnsi="ＭＳ Ｐゴシック" w:eastAsia="ＭＳ Ｐゴシック"/>
                <w:color w:val="000000"/>
                <w:kern w:val="0"/>
                <w:sz w:val="18"/>
              </w:rPr>
              <w:t>年度）</w:t>
            </w:r>
          </w:p>
        </w:tc>
        <w:tc>
          <w:tcPr>
            <w:tcW w:w="721" w:type="pct"/>
            <w:tcBorders>
              <w:top w:val="single" w:color="auto" w:sz="8" w:space="0"/>
              <w:left w:val="nil"/>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平成</w:t>
            </w:r>
            <w:r>
              <w:rPr>
                <w:rFonts w:hint="eastAsia" w:ascii="ＭＳ Ｐゴシック" w:hAnsi="ＭＳ Ｐゴシック" w:eastAsia="ＭＳ Ｐゴシック"/>
                <w:color w:val="000000"/>
                <w:kern w:val="0"/>
                <w:sz w:val="18"/>
              </w:rPr>
              <w:t>3</w:t>
            </w:r>
            <w:r>
              <w:rPr>
                <w:rFonts w:hint="default" w:ascii="ＭＳ Ｐゴシック" w:hAnsi="ＭＳ Ｐゴシック" w:eastAsia="ＭＳ Ｐゴシック"/>
                <w:color w:val="000000"/>
                <w:kern w:val="0"/>
                <w:sz w:val="18"/>
              </w:rPr>
              <w:t>0</w:t>
            </w:r>
            <w:r>
              <w:rPr>
                <w:rFonts w:hint="eastAsia" w:ascii="ＭＳ Ｐゴシック" w:hAnsi="ＭＳ Ｐゴシック" w:eastAsia="ＭＳ Ｐゴシック"/>
                <w:color w:val="000000"/>
                <w:kern w:val="0"/>
                <w:sz w:val="18"/>
              </w:rPr>
              <w:t>年度</w:t>
            </w:r>
          </w:p>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018</w:t>
            </w:r>
            <w:r>
              <w:rPr>
                <w:rFonts w:hint="eastAsia" w:ascii="ＭＳ Ｐゴシック" w:hAnsi="ＭＳ Ｐゴシック" w:eastAsia="ＭＳ Ｐゴシック"/>
                <w:color w:val="000000"/>
                <w:kern w:val="0"/>
                <w:sz w:val="18"/>
              </w:rPr>
              <w:t>年度）</w:t>
            </w:r>
          </w:p>
        </w:tc>
        <w:tc>
          <w:tcPr>
            <w:tcW w:w="721" w:type="pct"/>
            <w:tcBorders>
              <w:top w:val="single" w:color="auto" w:sz="8" w:space="0"/>
              <w:left w:val="nil"/>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令和元年度</w:t>
            </w:r>
          </w:p>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w:t>
            </w:r>
            <w:r>
              <w:rPr>
                <w:rFonts w:hint="eastAsia" w:ascii="ＭＳ Ｐゴシック" w:hAnsi="ＭＳ Ｐゴシック" w:eastAsia="ＭＳ Ｐゴシック"/>
                <w:color w:val="000000"/>
                <w:kern w:val="0"/>
                <w:sz w:val="18"/>
              </w:rPr>
              <w:t>2</w:t>
            </w:r>
            <w:r>
              <w:rPr>
                <w:rFonts w:hint="default" w:ascii="ＭＳ Ｐゴシック" w:hAnsi="ＭＳ Ｐゴシック" w:eastAsia="ＭＳ Ｐゴシック"/>
                <w:color w:val="000000"/>
                <w:kern w:val="0"/>
                <w:sz w:val="18"/>
              </w:rPr>
              <w:t>019</w:t>
            </w:r>
            <w:r>
              <w:rPr>
                <w:rFonts w:hint="eastAsia" w:ascii="ＭＳ Ｐゴシック" w:hAnsi="ＭＳ Ｐゴシック" w:eastAsia="ＭＳ Ｐゴシック"/>
                <w:color w:val="000000"/>
                <w:kern w:val="0"/>
                <w:sz w:val="18"/>
              </w:rPr>
              <w:t>年度）</w:t>
            </w:r>
          </w:p>
        </w:tc>
        <w:tc>
          <w:tcPr>
            <w:tcW w:w="672" w:type="pct"/>
            <w:tcBorders>
              <w:top w:val="single" w:color="auto" w:sz="8" w:space="0"/>
              <w:left w:val="nil"/>
              <w:bottom w:val="single" w:color="auto" w:sz="4" w:space="0"/>
              <w:right w:val="single" w:color="auto" w:sz="8"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平均</w:t>
            </w:r>
          </w:p>
        </w:tc>
      </w:tr>
      <w:tr>
        <w:trPr>
          <w:trHeight w:val="360" w:hRule="atLeast"/>
        </w:trPr>
        <w:tc>
          <w:tcPr>
            <w:tcW w:w="721" w:type="pct"/>
            <w:tcBorders>
              <w:top w:val="nil"/>
              <w:left w:val="single" w:color="auto" w:sz="8" w:space="0"/>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施設整備費</w:t>
            </w:r>
          </w:p>
        </w:tc>
        <w:tc>
          <w:tcPr>
            <w:tcW w:w="72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6</w:t>
            </w:r>
            <w:r>
              <w:rPr>
                <w:rFonts w:hint="default" w:ascii="ＭＳ Ｐゴシック" w:hAnsi="ＭＳ Ｐゴシック" w:eastAsia="ＭＳ Ｐゴシック"/>
                <w:color w:val="000000"/>
                <w:kern w:val="0"/>
              </w:rPr>
              <w:t>37</w:t>
            </w:r>
            <w:r>
              <w:rPr>
                <w:rFonts w:hint="eastAsia" w:ascii="ＭＳ Ｐゴシック" w:hAnsi="ＭＳ Ｐゴシック" w:eastAsia="ＭＳ Ｐゴシック"/>
                <w:color w:val="000000"/>
                <w:kern w:val="0"/>
              </w:rPr>
              <w:t>,</w:t>
            </w:r>
            <w:r>
              <w:rPr>
                <w:rFonts w:hint="default" w:ascii="ＭＳ Ｐゴシック" w:hAnsi="ＭＳ Ｐゴシック" w:eastAsia="ＭＳ Ｐゴシック"/>
                <w:color w:val="000000"/>
                <w:kern w:val="0"/>
              </w:rPr>
              <w:t>417</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6</w:t>
            </w:r>
            <w:r>
              <w:rPr>
                <w:rFonts w:hint="default" w:ascii="ＭＳ Ｐゴシック" w:hAnsi="ＭＳ Ｐゴシック" w:eastAsia="ＭＳ Ｐゴシック"/>
                <w:color w:val="000000"/>
                <w:kern w:val="0"/>
              </w:rPr>
              <w:t>48</w:t>
            </w:r>
            <w:r>
              <w:rPr>
                <w:rFonts w:hint="eastAsia" w:ascii="ＭＳ Ｐゴシック" w:hAnsi="ＭＳ Ｐゴシック" w:eastAsia="ＭＳ Ｐゴシック"/>
                <w:color w:val="000000"/>
                <w:kern w:val="0"/>
              </w:rPr>
              <w:t>,756</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1,12</w:t>
            </w:r>
            <w:r>
              <w:rPr>
                <w:rFonts w:hint="default" w:ascii="ＭＳ Ｐゴシック" w:hAnsi="ＭＳ Ｐゴシック" w:eastAsia="ＭＳ Ｐゴシック"/>
                <w:color w:val="000000"/>
                <w:kern w:val="0"/>
              </w:rPr>
              <w:t>6</w:t>
            </w:r>
            <w:r>
              <w:rPr>
                <w:rFonts w:hint="eastAsia" w:ascii="ＭＳ Ｐゴシック" w:hAnsi="ＭＳ Ｐゴシック" w:eastAsia="ＭＳ Ｐゴシック"/>
                <w:color w:val="000000"/>
                <w:kern w:val="0"/>
              </w:rPr>
              <w:t>,</w:t>
            </w:r>
            <w:r>
              <w:rPr>
                <w:rFonts w:hint="default" w:ascii="ＭＳ Ｐゴシック" w:hAnsi="ＭＳ Ｐゴシック" w:eastAsia="ＭＳ Ｐゴシック"/>
                <w:color w:val="000000"/>
                <w:kern w:val="0"/>
              </w:rPr>
              <w:t>957</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2</w:t>
            </w:r>
            <w:r>
              <w:rPr>
                <w:rFonts w:hint="eastAsia" w:ascii="ＭＳ Ｐゴシック" w:hAnsi="ＭＳ Ｐゴシック" w:eastAsia="ＭＳ Ｐゴシック"/>
                <w:color w:val="000000"/>
                <w:kern w:val="0"/>
              </w:rPr>
              <w:t>,096</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4</w:t>
            </w:r>
            <w:r>
              <w:rPr>
                <w:rFonts w:hint="default" w:ascii="ＭＳ Ｐゴシック" w:hAnsi="ＭＳ Ｐゴシック" w:eastAsia="ＭＳ Ｐゴシック"/>
                <w:color w:val="000000"/>
                <w:kern w:val="0"/>
              </w:rPr>
              <w:t>37</w:t>
            </w:r>
            <w:r>
              <w:rPr>
                <w:rFonts w:hint="eastAsia" w:ascii="ＭＳ Ｐゴシック" w:hAnsi="ＭＳ Ｐゴシック" w:eastAsia="ＭＳ Ｐゴシック"/>
                <w:color w:val="000000"/>
                <w:kern w:val="0"/>
              </w:rPr>
              <w:t>,527</w:t>
            </w:r>
          </w:p>
        </w:tc>
        <w:tc>
          <w:tcPr>
            <w:tcW w:w="672"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5</w:t>
            </w:r>
            <w:r>
              <w:rPr>
                <w:rFonts w:hint="default" w:ascii="ＭＳ Ｐゴシック" w:hAnsi="ＭＳ Ｐゴシック" w:eastAsia="ＭＳ Ｐゴシック"/>
                <w:color w:val="000000"/>
                <w:kern w:val="0"/>
              </w:rPr>
              <w:t>72</w:t>
            </w:r>
            <w:r>
              <w:rPr>
                <w:rFonts w:hint="eastAsia" w:ascii="ＭＳ Ｐゴシック" w:hAnsi="ＭＳ Ｐゴシック" w:eastAsia="ＭＳ Ｐゴシック"/>
                <w:color w:val="000000"/>
                <w:kern w:val="0"/>
              </w:rPr>
              <w:t>,551</w:t>
            </w:r>
          </w:p>
        </w:tc>
      </w:tr>
      <w:tr>
        <w:trPr>
          <w:trHeight w:val="360" w:hRule="atLeast"/>
        </w:trPr>
        <w:tc>
          <w:tcPr>
            <w:tcW w:w="721" w:type="pct"/>
            <w:tcBorders>
              <w:top w:val="nil"/>
              <w:left w:val="single" w:color="auto" w:sz="8" w:space="0"/>
              <w:bottom w:val="single" w:color="auto" w:sz="4"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維持修繕費</w:t>
            </w:r>
          </w:p>
        </w:tc>
        <w:tc>
          <w:tcPr>
            <w:tcW w:w="72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3</w:t>
            </w:r>
            <w:r>
              <w:rPr>
                <w:rFonts w:hint="default" w:ascii="ＭＳ Ｐゴシック" w:hAnsi="ＭＳ Ｐゴシック" w:eastAsia="ＭＳ Ｐゴシック"/>
                <w:color w:val="000000"/>
                <w:kern w:val="0"/>
              </w:rPr>
              <w:t>4</w:t>
            </w:r>
            <w:r>
              <w:rPr>
                <w:rFonts w:hint="eastAsia" w:ascii="ＭＳ Ｐゴシック" w:hAnsi="ＭＳ Ｐゴシック" w:eastAsia="ＭＳ Ｐゴシック"/>
                <w:color w:val="000000"/>
                <w:kern w:val="0"/>
              </w:rPr>
              <w:t>,584</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3</w:t>
            </w:r>
            <w:r>
              <w:rPr>
                <w:rFonts w:hint="default" w:ascii="ＭＳ Ｐゴシック" w:hAnsi="ＭＳ Ｐゴシック" w:eastAsia="ＭＳ Ｐゴシック"/>
                <w:color w:val="000000"/>
                <w:kern w:val="0"/>
              </w:rPr>
              <w:t>0</w:t>
            </w:r>
            <w:r>
              <w:rPr>
                <w:rFonts w:hint="eastAsia" w:ascii="ＭＳ Ｐゴシック" w:hAnsi="ＭＳ Ｐゴシック" w:eastAsia="ＭＳ Ｐゴシック"/>
                <w:color w:val="000000"/>
                <w:kern w:val="0"/>
              </w:rPr>
              <w:t>,382</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2</w:t>
            </w:r>
            <w:r>
              <w:rPr>
                <w:rFonts w:hint="default" w:ascii="ＭＳ Ｐゴシック" w:hAnsi="ＭＳ Ｐゴシック" w:eastAsia="ＭＳ Ｐゴシック"/>
                <w:color w:val="000000"/>
                <w:kern w:val="0"/>
              </w:rPr>
              <w:t>2</w:t>
            </w:r>
            <w:r>
              <w:rPr>
                <w:rFonts w:hint="eastAsia" w:ascii="ＭＳ Ｐゴシック" w:hAnsi="ＭＳ Ｐゴシック" w:eastAsia="ＭＳ Ｐゴシック"/>
                <w:color w:val="000000"/>
                <w:kern w:val="0"/>
              </w:rPr>
              <w:t>,135</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6</w:t>
            </w:r>
            <w:r>
              <w:rPr>
                <w:rFonts w:hint="eastAsia" w:ascii="ＭＳ Ｐゴシック" w:hAnsi="ＭＳ Ｐゴシック" w:eastAsia="ＭＳ Ｐゴシック"/>
                <w:color w:val="000000"/>
                <w:kern w:val="0"/>
              </w:rPr>
              <w:t>,022</w:t>
            </w:r>
          </w:p>
        </w:tc>
        <w:tc>
          <w:tcPr>
            <w:tcW w:w="721"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7</w:t>
            </w:r>
            <w:r>
              <w:rPr>
                <w:rFonts w:hint="eastAsia" w:ascii="ＭＳ Ｐゴシック" w:hAnsi="ＭＳ Ｐゴシック" w:eastAsia="ＭＳ Ｐゴシック"/>
                <w:color w:val="000000"/>
                <w:kern w:val="0"/>
              </w:rPr>
              <w:t>,143</w:t>
            </w:r>
          </w:p>
        </w:tc>
        <w:tc>
          <w:tcPr>
            <w:tcW w:w="672"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2</w:t>
            </w:r>
            <w:r>
              <w:rPr>
                <w:rFonts w:hint="default" w:ascii="ＭＳ Ｐゴシック" w:hAnsi="ＭＳ Ｐゴシック" w:eastAsia="ＭＳ Ｐゴシック"/>
                <w:color w:val="000000"/>
                <w:kern w:val="0"/>
              </w:rPr>
              <w:t>4</w:t>
            </w:r>
            <w:r>
              <w:rPr>
                <w:rFonts w:hint="eastAsia" w:ascii="ＭＳ Ｐゴシック" w:hAnsi="ＭＳ Ｐゴシック" w:eastAsia="ＭＳ Ｐゴシック"/>
                <w:color w:val="000000"/>
                <w:kern w:val="0"/>
              </w:rPr>
              <w:t>,053</w:t>
            </w:r>
          </w:p>
        </w:tc>
      </w:tr>
      <w:tr>
        <w:trPr>
          <w:trHeight w:val="360" w:hRule="atLeast"/>
        </w:trPr>
        <w:tc>
          <w:tcPr>
            <w:tcW w:w="721" w:type="pct"/>
            <w:tcBorders>
              <w:top w:val="nil"/>
              <w:left w:val="single" w:color="auto" w:sz="8" w:space="0"/>
              <w:bottom w:val="double" w:color="auto" w:sz="6"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光熱水費</w:t>
            </w:r>
          </w:p>
        </w:tc>
        <w:tc>
          <w:tcPr>
            <w:tcW w:w="723" w:type="pct"/>
            <w:tcBorders>
              <w:top w:val="nil"/>
              <w:left w:val="nil"/>
              <w:bottom w:val="double" w:color="auto" w:sz="6"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04</w:t>
            </w:r>
            <w:r>
              <w:rPr>
                <w:rFonts w:hint="eastAsia" w:ascii="ＭＳ Ｐゴシック" w:hAnsi="ＭＳ Ｐゴシック" w:eastAsia="ＭＳ Ｐゴシック"/>
                <w:color w:val="000000"/>
                <w:kern w:val="0"/>
              </w:rPr>
              <w:t>,646</w:t>
            </w:r>
          </w:p>
        </w:tc>
        <w:tc>
          <w:tcPr>
            <w:tcW w:w="721" w:type="pct"/>
            <w:tcBorders>
              <w:top w:val="nil"/>
              <w:left w:val="nil"/>
              <w:bottom w:val="double" w:color="auto" w:sz="6"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9</w:t>
            </w:r>
            <w:r>
              <w:rPr>
                <w:rFonts w:hint="default" w:ascii="ＭＳ Ｐゴシック" w:hAnsi="ＭＳ Ｐゴシック" w:eastAsia="ＭＳ Ｐゴシック"/>
                <w:color w:val="000000"/>
                <w:kern w:val="0"/>
              </w:rPr>
              <w:t>6</w:t>
            </w:r>
            <w:r>
              <w:rPr>
                <w:rFonts w:hint="eastAsia" w:ascii="ＭＳ Ｐゴシック" w:hAnsi="ＭＳ Ｐゴシック" w:eastAsia="ＭＳ Ｐゴシック"/>
                <w:color w:val="000000"/>
                <w:kern w:val="0"/>
              </w:rPr>
              <w:t>,648</w:t>
            </w:r>
          </w:p>
        </w:tc>
        <w:tc>
          <w:tcPr>
            <w:tcW w:w="721" w:type="pct"/>
            <w:tcBorders>
              <w:top w:val="nil"/>
              <w:left w:val="nil"/>
              <w:bottom w:val="double" w:color="auto" w:sz="6"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9</w:t>
            </w:r>
            <w:r>
              <w:rPr>
                <w:rFonts w:hint="default" w:ascii="ＭＳ Ｐゴシック" w:hAnsi="ＭＳ Ｐゴシック" w:eastAsia="ＭＳ Ｐゴシック"/>
                <w:color w:val="000000"/>
                <w:kern w:val="0"/>
              </w:rPr>
              <w:t>7</w:t>
            </w:r>
            <w:r>
              <w:rPr>
                <w:rFonts w:hint="eastAsia" w:ascii="ＭＳ Ｐゴシック" w:hAnsi="ＭＳ Ｐゴシック" w:eastAsia="ＭＳ Ｐゴシック"/>
                <w:color w:val="000000"/>
                <w:kern w:val="0"/>
              </w:rPr>
              <w:t>,</w:t>
            </w:r>
            <w:r>
              <w:rPr>
                <w:rFonts w:hint="default" w:ascii="ＭＳ Ｐゴシック" w:hAnsi="ＭＳ Ｐゴシック" w:eastAsia="ＭＳ Ｐゴシック"/>
                <w:color w:val="000000"/>
                <w:kern w:val="0"/>
              </w:rPr>
              <w:t>235</w:t>
            </w:r>
          </w:p>
        </w:tc>
        <w:tc>
          <w:tcPr>
            <w:tcW w:w="721" w:type="pct"/>
            <w:tcBorders>
              <w:top w:val="nil"/>
              <w:left w:val="nil"/>
              <w:bottom w:val="double" w:color="auto" w:sz="6"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12</w:t>
            </w:r>
            <w:r>
              <w:rPr>
                <w:rFonts w:hint="eastAsia" w:ascii="ＭＳ Ｐゴシック" w:hAnsi="ＭＳ Ｐゴシック" w:eastAsia="ＭＳ Ｐゴシック"/>
                <w:color w:val="000000"/>
                <w:kern w:val="0"/>
              </w:rPr>
              <w:t>,388</w:t>
            </w:r>
          </w:p>
        </w:tc>
        <w:tc>
          <w:tcPr>
            <w:tcW w:w="721" w:type="pct"/>
            <w:tcBorders>
              <w:top w:val="nil"/>
              <w:left w:val="nil"/>
              <w:bottom w:val="double" w:color="auto" w:sz="6"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06</w:t>
            </w:r>
            <w:r>
              <w:rPr>
                <w:rFonts w:hint="eastAsia" w:ascii="ＭＳ Ｐゴシック" w:hAnsi="ＭＳ Ｐゴシック" w:eastAsia="ＭＳ Ｐゴシック"/>
                <w:color w:val="000000"/>
                <w:kern w:val="0"/>
              </w:rPr>
              <w:t>,578</w:t>
            </w:r>
          </w:p>
        </w:tc>
        <w:tc>
          <w:tcPr>
            <w:tcW w:w="672" w:type="pct"/>
            <w:tcBorders>
              <w:top w:val="nil"/>
              <w:left w:val="nil"/>
              <w:bottom w:val="double" w:color="auto" w:sz="6" w:space="0"/>
              <w:right w:val="single" w:color="auto" w:sz="8"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03</w:t>
            </w:r>
            <w:r>
              <w:rPr>
                <w:rFonts w:hint="eastAsia" w:ascii="ＭＳ Ｐゴシック" w:hAnsi="ＭＳ Ｐゴシック" w:eastAsia="ＭＳ Ｐゴシック"/>
                <w:color w:val="000000"/>
                <w:kern w:val="0"/>
              </w:rPr>
              <w:t>,499</w:t>
            </w:r>
          </w:p>
        </w:tc>
      </w:tr>
      <w:tr>
        <w:trPr>
          <w:trHeight w:val="360" w:hRule="atLeast"/>
        </w:trPr>
        <w:tc>
          <w:tcPr>
            <w:tcW w:w="721" w:type="pct"/>
            <w:tcBorders>
              <w:top w:val="nil"/>
              <w:left w:val="single" w:color="auto" w:sz="8" w:space="0"/>
              <w:bottom w:val="single" w:color="auto" w:sz="8" w:space="0"/>
              <w:right w:val="single" w:color="auto" w:sz="4" w:space="0"/>
              <w:tl2br w:val="none" w:color="auto" w:sz="0" w:space="0"/>
              <w:tr2bl w:val="none" w:color="auto" w:sz="0" w:space="0"/>
            </w:tcBorders>
            <w:shd w:val="clear" w:color="auto" w:themeFill="background1" w:themeFillTint="FF" w:themeFillShade="F2"/>
            <w:vAlign w:val="center"/>
          </w:tcPr>
          <w:p>
            <w:pPr>
              <w:pStyle w:val="0"/>
              <w:widowControl w:val="1"/>
              <w:snapToGrid w:val="0"/>
              <w:contextualSpacing w:val="1"/>
              <w:jc w:val="center"/>
              <w:rPr>
                <w:rFonts w:hint="default" w:ascii="ＭＳ Ｐゴシック" w:hAnsi="ＭＳ Ｐゴシック" w:eastAsia="ＭＳ Ｐゴシック"/>
                <w:color w:val="000000"/>
                <w:kern w:val="0"/>
                <w:sz w:val="18"/>
              </w:rPr>
            </w:pPr>
            <w:r>
              <w:rPr>
                <w:rFonts w:hint="eastAsia" w:ascii="ＭＳ Ｐゴシック" w:hAnsi="ＭＳ Ｐゴシック" w:eastAsia="ＭＳ Ｐゴシック"/>
                <w:color w:val="000000"/>
                <w:kern w:val="0"/>
                <w:sz w:val="18"/>
              </w:rPr>
              <w:t>合計</w:t>
            </w:r>
          </w:p>
        </w:tc>
        <w:tc>
          <w:tcPr>
            <w:tcW w:w="723" w:type="pct"/>
            <w:tcBorders>
              <w:top w:val="nil"/>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7</w:t>
            </w:r>
            <w:r>
              <w:rPr>
                <w:rFonts w:hint="default" w:ascii="ＭＳ Ｐゴシック" w:hAnsi="ＭＳ Ｐゴシック" w:eastAsia="ＭＳ Ｐゴシック"/>
                <w:color w:val="000000"/>
                <w:kern w:val="0"/>
              </w:rPr>
              <w:t>76</w:t>
            </w:r>
            <w:r>
              <w:rPr>
                <w:rFonts w:hint="eastAsia" w:ascii="ＭＳ Ｐゴシック" w:hAnsi="ＭＳ Ｐゴシック" w:eastAsia="ＭＳ Ｐゴシック"/>
                <w:color w:val="000000"/>
                <w:kern w:val="0"/>
              </w:rPr>
              <w:t>,648</w:t>
            </w:r>
          </w:p>
        </w:tc>
        <w:tc>
          <w:tcPr>
            <w:tcW w:w="721" w:type="pct"/>
            <w:tcBorders>
              <w:top w:val="nil"/>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7</w:t>
            </w:r>
            <w:r>
              <w:rPr>
                <w:rFonts w:hint="default" w:ascii="ＭＳ Ｐゴシック" w:hAnsi="ＭＳ Ｐゴシック" w:eastAsia="ＭＳ Ｐゴシック"/>
                <w:color w:val="000000"/>
                <w:kern w:val="0"/>
              </w:rPr>
              <w:t>75</w:t>
            </w:r>
            <w:r>
              <w:rPr>
                <w:rFonts w:hint="eastAsia" w:ascii="ＭＳ Ｐゴシック" w:hAnsi="ＭＳ Ｐゴシック" w:eastAsia="ＭＳ Ｐゴシック"/>
                <w:color w:val="000000"/>
                <w:kern w:val="0"/>
              </w:rPr>
              <w:t>,</w:t>
            </w:r>
            <w:r>
              <w:rPr>
                <w:rFonts w:hint="default" w:ascii="ＭＳ Ｐゴシック" w:hAnsi="ＭＳ Ｐゴシック" w:eastAsia="ＭＳ Ｐゴシック"/>
                <w:color w:val="000000"/>
                <w:kern w:val="0"/>
              </w:rPr>
              <w:t>786</w:t>
            </w:r>
          </w:p>
        </w:tc>
        <w:tc>
          <w:tcPr>
            <w:tcW w:w="721" w:type="pct"/>
            <w:tcBorders>
              <w:top w:val="nil"/>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1,246,</w:t>
            </w:r>
            <w:r>
              <w:rPr>
                <w:rFonts w:hint="default" w:ascii="ＭＳ Ｐゴシック" w:hAnsi="ＭＳ Ｐゴシック" w:eastAsia="ＭＳ Ｐゴシック"/>
                <w:color w:val="000000"/>
                <w:kern w:val="0"/>
              </w:rPr>
              <w:t>327</w:t>
            </w:r>
          </w:p>
        </w:tc>
        <w:tc>
          <w:tcPr>
            <w:tcW w:w="721" w:type="pct"/>
            <w:tcBorders>
              <w:top w:val="nil"/>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1</w:t>
            </w:r>
            <w:r>
              <w:rPr>
                <w:rFonts w:hint="default" w:ascii="ＭＳ Ｐゴシック" w:hAnsi="ＭＳ Ｐゴシック" w:eastAsia="ＭＳ Ｐゴシック"/>
                <w:color w:val="000000"/>
                <w:kern w:val="0"/>
              </w:rPr>
              <w:t>40</w:t>
            </w:r>
            <w:r>
              <w:rPr>
                <w:rFonts w:hint="eastAsia" w:ascii="ＭＳ Ｐゴシック" w:hAnsi="ＭＳ Ｐゴシック" w:eastAsia="ＭＳ Ｐゴシック"/>
                <w:color w:val="000000"/>
                <w:kern w:val="0"/>
              </w:rPr>
              <w:t>,507</w:t>
            </w:r>
          </w:p>
        </w:tc>
        <w:tc>
          <w:tcPr>
            <w:tcW w:w="721" w:type="pct"/>
            <w:tcBorders>
              <w:top w:val="nil"/>
              <w:left w:val="nil"/>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5</w:t>
            </w:r>
            <w:r>
              <w:rPr>
                <w:rFonts w:hint="default" w:ascii="ＭＳ Ｐゴシック" w:hAnsi="ＭＳ Ｐゴシック" w:eastAsia="ＭＳ Ｐゴシック"/>
                <w:color w:val="000000"/>
                <w:kern w:val="0"/>
              </w:rPr>
              <w:t>61</w:t>
            </w:r>
            <w:r>
              <w:rPr>
                <w:rFonts w:hint="eastAsia" w:ascii="ＭＳ Ｐゴシック" w:hAnsi="ＭＳ Ｐゴシック" w:eastAsia="ＭＳ Ｐゴシック"/>
                <w:color w:val="000000"/>
                <w:kern w:val="0"/>
              </w:rPr>
              <w:t>,</w:t>
            </w:r>
            <w:r>
              <w:rPr>
                <w:rFonts w:hint="default" w:ascii="ＭＳ Ｐゴシック" w:hAnsi="ＭＳ Ｐゴシック" w:eastAsia="ＭＳ Ｐゴシック"/>
                <w:color w:val="000000"/>
                <w:kern w:val="0"/>
              </w:rPr>
              <w:t>248</w:t>
            </w:r>
          </w:p>
        </w:tc>
        <w:tc>
          <w:tcPr>
            <w:tcW w:w="672" w:type="pct"/>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snapToGrid w:val="0"/>
              <w:contextualSpacing w:val="1"/>
              <w:jc w:val="righ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7</w:t>
            </w:r>
            <w:r>
              <w:rPr>
                <w:rFonts w:hint="default" w:ascii="ＭＳ Ｐゴシック" w:hAnsi="ＭＳ Ｐゴシック" w:eastAsia="ＭＳ Ｐゴシック"/>
                <w:color w:val="000000"/>
                <w:kern w:val="0"/>
              </w:rPr>
              <w:t>00</w:t>
            </w:r>
            <w:r>
              <w:rPr>
                <w:rFonts w:hint="eastAsia" w:ascii="ＭＳ Ｐゴシック" w:hAnsi="ＭＳ Ｐゴシック" w:eastAsia="ＭＳ Ｐゴシック"/>
                <w:color w:val="000000"/>
                <w:kern w:val="0"/>
              </w:rPr>
              <w:t>,103</w:t>
            </w:r>
          </w:p>
        </w:tc>
      </w:tr>
    </w:tbl>
    <w:p>
      <w:pPr>
        <w:pStyle w:val="34"/>
        <w:ind w:left="300" w:leftChars="150"/>
        <w:rPr>
          <w:rFonts w:hint="default"/>
          <w:sz w:val="18"/>
        </w:rPr>
      </w:pPr>
      <w:r>
        <w:rPr>
          <w:rFonts w:hint="eastAsia"/>
          <w:sz w:val="18"/>
        </w:rPr>
        <w:t>注）施設整備費には、その他施設整備費及び委託費を含む。</w:t>
      </w:r>
    </w:p>
    <w:p>
      <w:pPr>
        <w:pStyle w:val="49"/>
        <w:ind w:left="100" w:firstLine="180"/>
        <w:jc w:val="both"/>
        <w:rPr>
          <w:rFonts w:hint="default"/>
          <w:sz w:val="18"/>
        </w:rPr>
      </w:pPr>
    </w:p>
    <w:p>
      <w:pPr>
        <w:pStyle w:val="49"/>
        <w:ind w:left="100" w:firstLine="0" w:firstLineChars="0"/>
        <w:jc w:val="center"/>
        <w:rPr>
          <w:rFonts w:hint="default"/>
          <w:sz w:val="18"/>
        </w:rPr>
      </w:pPr>
      <w:r>
        <w:rPr>
          <w:rFonts w:hint="eastAsia" w:ascii="ＭＳ Ｐゴシック" w:hAnsi="ＭＳ Ｐゴシック" w:eastAsia="ＭＳ Ｐゴシック"/>
          <w:sz w:val="18"/>
        </w:rPr>
        <w:drawing>
          <wp:inline distT="0" distB="0" distL="0" distR="0">
            <wp:extent cx="5452110" cy="3067050"/>
            <wp:effectExtent l="0" t="0" r="0" b="0"/>
            <wp:docPr id="1050" name="オブジェクト 0"/>
            <a:graphic xmlns:a="http://schemas.openxmlformats.org/drawingml/2006/main">
              <a:graphicData uri="http://schemas.openxmlformats.org/drawingml/2006/chart">
                <c:chart xmlns:c="http://schemas.openxmlformats.org/drawingml/2006/chart" r:id="rId33"/>
              </a:graphicData>
            </a:graphic>
          </wp:inline>
        </w:drawing>
      </w:r>
    </w:p>
    <w:p>
      <w:pPr>
        <w:pStyle w:val="33"/>
        <w:ind w:left="200" w:leftChars="100"/>
        <w:rPr>
          <w:rFonts w:hint="default" w:ascii="ＭＳ Ｐゴシック" w:hAnsi="ＭＳ Ｐゴシック" w:eastAsia="ＭＳ Ｐゴシック"/>
          <w:b w:val="0"/>
        </w:rPr>
      </w:pPr>
      <w:r>
        <w:rPr>
          <w:rFonts w:hint="default" w:ascii="ＭＳ Ｐゴシック" w:hAnsi="ＭＳ Ｐゴシック" w:eastAsia="ＭＳ Ｐゴシック"/>
          <w:b w:val="0"/>
        </w:rPr>
        <w:t>図</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図</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6</w:t>
      </w:r>
      <w:r>
        <w:rPr>
          <w:rFonts w:hint="eastAsia"/>
        </w:rPr>
        <w:fldChar w:fldCharType="end"/>
      </w:r>
      <w:r>
        <w:rPr>
          <w:rFonts w:hint="eastAsia" w:ascii="ＭＳ Ｐゴシック" w:hAnsi="ＭＳ Ｐゴシック" w:eastAsia="ＭＳ Ｐゴシック"/>
          <w:b w:val="0"/>
        </w:rPr>
        <w:t>　施設関連経費の推移</w:t>
      </w:r>
    </w:p>
    <w:p>
      <w:pPr>
        <w:pStyle w:val="49"/>
        <w:ind w:left="200" w:leftChars="100" w:firstLine="0" w:firstLineChars="0"/>
        <w:jc w:val="both"/>
        <w:rPr>
          <w:rFonts w:hint="default"/>
        </w:rPr>
      </w:pPr>
    </w:p>
    <w:p>
      <w:pPr>
        <w:pStyle w:val="49"/>
        <w:ind w:left="200" w:leftChars="100" w:firstLine="0" w:firstLineChars="0"/>
        <w:jc w:val="both"/>
        <w:rPr>
          <w:rFonts w:hint="default"/>
        </w:rPr>
      </w:pPr>
    </w:p>
    <w:p>
      <w:pPr>
        <w:pStyle w:val="0"/>
        <w:widowControl w:val="1"/>
        <w:jc w:val="left"/>
        <w:rPr>
          <w:rFonts w:hint="default"/>
          <w:b w:val="1"/>
        </w:rPr>
      </w:pPr>
      <w:bookmarkStart w:id="16" w:name="_Ref39826972"/>
      <w:r>
        <w:rPr>
          <w:rFonts w:hint="default"/>
        </w:rPr>
        <w:br w:type="page"/>
      </w:r>
    </w:p>
    <w:p>
      <w:pPr>
        <w:pStyle w:val="2"/>
        <w:rPr>
          <w:rFonts w:hint="default"/>
        </w:rPr>
      </w:pPr>
      <w:bookmarkEnd w:id="16"/>
      <w:r>
        <w:rPr>
          <w:rFonts w:hint="eastAsia"/>
        </w:rPr>
        <w:t>　</w:t>
      </w:r>
      <w:bookmarkStart w:id="17" w:name="_Toc73347187"/>
      <w:r>
        <w:rPr>
          <w:rFonts w:hint="eastAsia"/>
        </w:rPr>
        <w:t>学校施設の老朽化状況の実態</w:t>
      </w:r>
      <w:bookmarkEnd w:id="17"/>
    </w:p>
    <w:p>
      <w:pPr>
        <w:pStyle w:val="0"/>
        <w:rPr>
          <w:rFonts w:hint="default"/>
        </w:rPr>
      </w:pPr>
    </w:p>
    <w:p>
      <w:pPr>
        <w:pStyle w:val="3"/>
        <w:rPr>
          <w:rFonts w:hint="default"/>
        </w:rPr>
      </w:pPr>
      <w:r>
        <w:rPr>
          <w:rFonts w:hint="eastAsia"/>
        </w:rPr>
        <w:t>構造躯体の健全度の評価</w:t>
      </w:r>
    </w:p>
    <w:p>
      <w:pPr>
        <w:pStyle w:val="49"/>
        <w:ind w:left="200" w:leftChars="100" w:firstLine="0" w:firstLineChars="0"/>
        <w:jc w:val="both"/>
        <w:rPr>
          <w:rFonts w:hint="default"/>
        </w:rPr>
      </w:pPr>
      <w:r>
        <w:rPr>
          <w:rFonts w:hint="eastAsia"/>
        </w:rPr>
        <w:t>　学校施設の長寿命化の検討にあたり、構造躯体の健全性を整理し、長期間の建物使用の可否を評価する必要があります。そのため、「学校施設の寿命化計画策定に係る解説書」（平成</w:t>
      </w:r>
      <w:r>
        <w:rPr>
          <w:rFonts w:hint="default"/>
        </w:rPr>
        <w:t>29</w:t>
      </w:r>
      <w:r>
        <w:rPr>
          <w:rFonts w:hint="default"/>
        </w:rPr>
        <w:t>年</w:t>
      </w:r>
      <w:r>
        <w:rPr>
          <w:rFonts w:hint="default"/>
        </w:rPr>
        <w:t>3</w:t>
      </w:r>
      <w:r>
        <w:rPr>
          <w:rFonts w:hint="default"/>
        </w:rPr>
        <w:t>月、文部科学省</w:t>
      </w:r>
      <w:r>
        <w:rPr>
          <w:rFonts w:hint="eastAsia"/>
        </w:rPr>
        <w:t>）（以下、「解説書」という。）で示された評価方法を参考に、建物の築年数、コンクリート圧縮強度等を用いて構造躯体の健全性を評価しました。評価基準は以下のとおりです。</w:t>
      </w:r>
    </w:p>
    <w:p>
      <w:pPr>
        <w:pStyle w:val="49"/>
        <w:ind w:left="200" w:leftChars="100" w:firstLine="0" w:firstLineChars="0"/>
        <w:jc w:val="both"/>
        <w:rPr>
          <w:rFonts w:hint="default"/>
        </w:rPr>
      </w:pPr>
      <w:r>
        <w:rPr>
          <w:rFonts w:hint="eastAsia"/>
        </w:rPr>
        <w:t>　構造躯体に関しては、旧耐震基準の鉄筋コンクリート造の建物については、コンクリートの圧縮強度が「解説書」で長寿命化すべき建築物の基準である</w:t>
      </w:r>
      <w:r>
        <w:rPr>
          <w:rFonts w:hint="default"/>
        </w:rPr>
        <w:t>13.5N/mm²</w:t>
      </w:r>
      <w:r>
        <w:rPr>
          <w:rFonts w:hint="default"/>
        </w:rPr>
        <w:t>を上回って</w:t>
      </w:r>
      <w:r>
        <w:rPr>
          <w:rFonts w:hint="eastAsia"/>
        </w:rPr>
        <w:t>いることから、今後の維持・更新コストを試算する上では「長寿命」と区分し試算します。</w:t>
      </w:r>
    </w:p>
    <w:p>
      <w:pPr>
        <w:pStyle w:val="49"/>
        <w:ind w:left="200" w:leftChars="100" w:firstLine="0" w:firstLineChars="0"/>
        <w:jc w:val="both"/>
        <w:rPr>
          <w:rFonts w:hint="default"/>
        </w:rPr>
      </w:pPr>
      <w:r>
        <w:rPr>
          <w:rFonts w:hint="eastAsia"/>
        </w:rPr>
        <w:t>　なお、倉庫などのその他施設や鉄骨造の建物、延べ床面積が</w:t>
      </w:r>
      <w:r>
        <w:rPr>
          <w:rFonts w:hint="eastAsia"/>
        </w:rPr>
        <w:t>1</w:t>
      </w:r>
      <w:r>
        <w:rPr>
          <w:rFonts w:hint="default"/>
        </w:rPr>
        <w:t>00</w:t>
      </w:r>
      <w:r>
        <w:rPr>
          <w:rFonts w:hint="eastAsia"/>
        </w:rPr>
        <w:t>㎡未満の小規模の建物、及び概ね築</w:t>
      </w:r>
      <w:r>
        <w:rPr>
          <w:rFonts w:hint="eastAsia"/>
        </w:rPr>
        <w:t>5</w:t>
      </w:r>
      <w:r>
        <w:rPr>
          <w:rFonts w:hint="default"/>
        </w:rPr>
        <w:t>0</w:t>
      </w:r>
      <w:r>
        <w:rPr>
          <w:rFonts w:hint="eastAsia"/>
        </w:rPr>
        <w:t>年以上の建物についても「改築」と区分しました。</w:t>
      </w:r>
    </w:p>
    <w:p>
      <w:pPr>
        <w:pStyle w:val="49"/>
        <w:ind w:left="200" w:leftChars="100" w:firstLine="0" w:firstLineChars="0"/>
        <w:jc w:val="both"/>
        <w:rPr>
          <w:rFonts w:hint="default"/>
        </w:rPr>
      </w:pPr>
    </w:p>
    <w:p>
      <w:pPr>
        <w:pStyle w:val="49"/>
        <w:ind w:left="200" w:leftChars="100" w:firstLine="0" w:firstLineChars="0"/>
        <w:jc w:val="both"/>
        <w:rPr>
          <w:rFonts w:hint="default"/>
        </w:rPr>
      </w:pPr>
    </w:p>
    <w:p>
      <w:pPr>
        <w:pStyle w:val="49"/>
        <w:ind w:left="200" w:leftChars="100" w:firstLine="0" w:firstLineChars="0"/>
        <w:jc w:val="both"/>
        <w:rPr>
          <w:rFonts w:hint="default"/>
        </w:rPr>
      </w:pPr>
      <w:r>
        <w:rPr>
          <w:rFonts w:hint="default"/>
        </w:rPr>
        <w:drawing>
          <wp:inline distT="0" distB="0" distL="0" distR="0">
            <wp:extent cx="5476240" cy="3302000"/>
            <wp:effectExtent l="24130" t="24130" r="23495" b="23495"/>
            <wp:docPr id="1051" name="図 4"/>
            <a:graphic xmlns:a="http://schemas.openxmlformats.org/drawingml/2006/main">
              <a:graphicData uri="http://schemas.openxmlformats.org/drawingml/2006/picture">
                <pic:pic xmlns:pic="http://schemas.openxmlformats.org/drawingml/2006/picture">
                  <pic:nvPicPr>
                    <pic:cNvPr id="1051" name="図 4"/>
                    <pic:cNvPicPr>
                      <a:picLocks noChangeAspect="1" noChangeArrowheads="1"/>
                    </pic:cNvPicPr>
                  </pic:nvPicPr>
                  <pic:blipFill>
                    <a:blip r:embed="rId34"/>
                    <a:stretch>
                      <a:fillRect/>
                    </a:stretch>
                  </pic:blipFill>
                  <pic:spPr>
                    <a:xfrm>
                      <a:off x="0" y="0"/>
                      <a:ext cx="5476240" cy="3302000"/>
                    </a:xfrm>
                    <a:prstGeom prst="rect">
                      <a:avLst/>
                    </a:prstGeom>
                    <a:noFill/>
                    <a:ln>
                      <a:solidFill>
                        <a:schemeClr val="tx1"/>
                      </a:solidFill>
                    </a:ln>
                  </pic:spPr>
                </pic:pic>
              </a:graphicData>
            </a:graphic>
          </wp:inline>
        </w:drawing>
      </w:r>
    </w:p>
    <w:p>
      <w:pPr>
        <w:pStyle w:val="49"/>
        <w:ind w:left="200" w:leftChars="100" w:right="200" w:rightChars="100" w:firstLine="0" w:firstLineChars="0"/>
        <w:jc w:val="right"/>
        <w:rPr>
          <w:rFonts w:hint="default"/>
        </w:rPr>
      </w:pPr>
      <w:r>
        <w:rPr>
          <w:rFonts w:hint="eastAsia"/>
        </w:rPr>
        <w:t>出典：「学校施設の寿命化計画策定に係る解説書」平成</w:t>
      </w:r>
      <w:r>
        <w:rPr>
          <w:rFonts w:hint="eastAsia"/>
        </w:rPr>
        <w:t>29</w:t>
      </w:r>
      <w:r>
        <w:rPr>
          <w:rFonts w:hint="eastAsia"/>
        </w:rPr>
        <w:t>年</w:t>
      </w:r>
      <w:r>
        <w:rPr>
          <w:rFonts w:hint="eastAsia"/>
        </w:rPr>
        <w:t>3</w:t>
      </w:r>
      <w:r>
        <w:rPr>
          <w:rFonts w:hint="eastAsia"/>
        </w:rPr>
        <w:t>月、文部</w:t>
      </w:r>
      <w:r>
        <w:rPr>
          <w:rFonts w:hint="default"/>
        </w:rPr>
        <w:t>科学省</w:t>
      </w:r>
    </w:p>
    <w:p>
      <w:pPr>
        <w:pStyle w:val="49"/>
        <w:ind w:left="200" w:leftChars="100" w:firstLine="0" w:firstLineChars="0"/>
        <w:jc w:val="center"/>
        <w:rPr>
          <w:rFonts w:hint="default" w:ascii="ＭＳ Ｐゴシック" w:hAnsi="ＭＳ Ｐゴシック" w:eastAsia="ＭＳ Ｐゴシック"/>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7</w:t>
      </w:r>
      <w:r>
        <w:rPr>
          <w:rFonts w:hint="eastAsia"/>
        </w:rPr>
        <w:fldChar w:fldCharType="end"/>
      </w:r>
      <w:r>
        <w:rPr>
          <w:rFonts w:hint="eastAsia" w:ascii="ＭＳ Ｐゴシック" w:hAnsi="ＭＳ Ｐゴシック" w:eastAsia="ＭＳ Ｐゴシック"/>
        </w:rPr>
        <w:t>　長寿命化の判定フロー</w:t>
      </w:r>
    </w:p>
    <w:p>
      <w:pPr>
        <w:pStyle w:val="49"/>
        <w:ind w:left="200" w:leftChars="100" w:firstLine="0" w:firstLineChars="0"/>
        <w:jc w:val="both"/>
        <w:rPr>
          <w:rFonts w:hint="default" w:ascii="ＭＳ ゴシック" w:hAnsi="ＭＳ ゴシック" w:eastAsia="ＭＳ ゴシック"/>
        </w:rPr>
      </w:pPr>
    </w:p>
    <w:p>
      <w:pPr>
        <w:pStyle w:val="0"/>
        <w:widowControl w:val="1"/>
        <w:jc w:val="left"/>
        <w:rPr>
          <w:rFonts w:hint="default"/>
          <w:sz w:val="24"/>
        </w:rPr>
      </w:pPr>
      <w:r>
        <w:rPr>
          <w:rFonts w:hint="default"/>
        </w:rPr>
        <w:br w:type="page"/>
      </w:r>
    </w:p>
    <w:p>
      <w:pPr>
        <w:pStyle w:val="3"/>
        <w:rPr>
          <w:rFonts w:hint="default"/>
        </w:rPr>
      </w:pPr>
      <w:r>
        <w:rPr>
          <w:rFonts w:hint="eastAsia"/>
        </w:rPr>
        <w:t>構造躯体以外の劣化状況等の評価</w:t>
      </w:r>
    </w:p>
    <w:p>
      <w:pPr>
        <w:pStyle w:val="34"/>
        <w:numPr>
          <w:ilvl w:val="0"/>
          <w:numId w:val="7"/>
        </w:numPr>
        <w:ind w:left="100" w:leftChars="50" w:firstLine="0"/>
        <w:rPr>
          <w:rFonts w:hint="default"/>
          <w:b w:val="1"/>
        </w:rPr>
      </w:pPr>
      <w:r>
        <w:rPr>
          <w:rFonts w:hint="eastAsia"/>
          <w:b w:val="1"/>
        </w:rPr>
        <w:t>管理者ヒアリングによる劣化状況の事前把握</w:t>
      </w:r>
    </w:p>
    <w:p>
      <w:pPr>
        <w:pStyle w:val="49"/>
        <w:ind w:left="200" w:leftChars="100" w:firstLine="0" w:firstLineChars="0"/>
        <w:jc w:val="both"/>
        <w:rPr>
          <w:rFonts w:hint="default"/>
        </w:rPr>
      </w:pPr>
      <w:r>
        <w:rPr>
          <w:rFonts w:hint="eastAsia"/>
        </w:rPr>
        <w:t>　劣化状況の調査に当たっては、事前に学校等に事前状況調査票を配布し、著しい劣化箇所がある場合は、事前状況調査票に劣化箇所および具体の劣化内容を記入してもらうことで、劣化等の見落としがないように調査を実施しました。</w:t>
      </w:r>
    </w:p>
    <w:p>
      <w:pPr>
        <w:pStyle w:val="49"/>
        <w:ind w:left="200" w:leftChars="100" w:firstLine="0" w:firstLineChars="0"/>
        <w:jc w:val="both"/>
        <w:rPr>
          <w:rFonts w:hint="default"/>
        </w:rPr>
      </w:pPr>
    </w:p>
    <w:p>
      <w:pPr>
        <w:pStyle w:val="49"/>
        <w:ind w:left="200" w:leftChars="100" w:firstLine="0" w:firstLineChars="0"/>
        <w:jc w:val="center"/>
        <w:rPr>
          <w:rFonts w:hint="default"/>
        </w:rPr>
      </w:pPr>
      <w:r>
        <w:rPr>
          <w:rFonts w:hint="default"/>
        </w:rPr>
        <w:drawing>
          <wp:inline distT="0" distB="0" distL="0" distR="0">
            <wp:extent cx="5139055" cy="7260590"/>
            <wp:effectExtent l="24130" t="24130" r="23495" b="23495"/>
            <wp:docPr id="1052" name="図 230"/>
            <a:graphic xmlns:a="http://schemas.openxmlformats.org/drawingml/2006/main">
              <a:graphicData uri="http://schemas.openxmlformats.org/drawingml/2006/picture">
                <pic:pic xmlns:pic="http://schemas.openxmlformats.org/drawingml/2006/picture">
                  <pic:nvPicPr>
                    <pic:cNvPr id="1052" name="図 230"/>
                    <pic:cNvPicPr>
                      <a:picLocks noChangeAspect="1" noChangeArrowheads="1"/>
                    </pic:cNvPicPr>
                  </pic:nvPicPr>
                  <pic:blipFill>
                    <a:blip r:embed="rId35"/>
                    <a:stretch>
                      <a:fillRect/>
                    </a:stretch>
                  </pic:blipFill>
                  <pic:spPr>
                    <a:xfrm>
                      <a:off x="0" y="0"/>
                      <a:ext cx="5139055" cy="7260590"/>
                    </a:xfrm>
                    <a:prstGeom prst="rect">
                      <a:avLst/>
                    </a:prstGeom>
                    <a:noFill/>
                    <a:ln w="6350">
                      <a:solidFill>
                        <a:srgbClr val="000000"/>
                      </a:solidFill>
                      <a:miter lim="800000"/>
                      <a:headEnd/>
                      <a:tailEnd/>
                    </a:ln>
                  </pic:spPr>
                </pic:pic>
              </a:graphicData>
            </a:graphic>
          </wp:inline>
        </w:drawing>
      </w:r>
    </w:p>
    <w:p>
      <w:pPr>
        <w:pStyle w:val="49"/>
        <w:ind w:left="200" w:leftChars="100" w:firstLine="0" w:firstLineChars="0"/>
        <w:jc w:val="center"/>
        <w:rPr>
          <w:rFonts w:hint="default" w:ascii="ＭＳ Ｐゴシック" w:hAnsi="ＭＳ Ｐゴシック" w:eastAsia="ＭＳ Ｐゴシック"/>
        </w:rPr>
      </w:pPr>
      <w:bookmarkStart w:id="18" w:name="_Ref53663985"/>
      <w:bookmarkStart w:id="19" w:name="_Ref53663981"/>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8</w:t>
      </w:r>
      <w:r>
        <w:rPr>
          <w:rFonts w:hint="eastAsia"/>
        </w:rPr>
        <w:fldChar w:fldCharType="end"/>
      </w:r>
      <w:bookmarkEnd w:id="18"/>
      <w:r>
        <w:rPr>
          <w:rFonts w:hint="eastAsia" w:ascii="ＭＳ Ｐゴシック" w:hAnsi="ＭＳ Ｐゴシック" w:eastAsia="ＭＳ Ｐゴシック"/>
        </w:rPr>
        <w:t>(1)</w:t>
      </w:r>
      <w:r>
        <w:rPr>
          <w:rFonts w:hint="eastAsia" w:ascii="ＭＳ Ｐゴシック" w:hAnsi="ＭＳ Ｐゴシック" w:eastAsia="ＭＳ Ｐゴシック"/>
        </w:rPr>
        <w:t>　劣化状況事前調査票（</w:t>
      </w:r>
      <w:r>
        <w:rPr>
          <w:rFonts w:hint="eastAsia" w:ascii="ＭＳ Ｐゴシック" w:hAnsi="ＭＳ Ｐゴシック" w:eastAsia="ＭＳ Ｐゴシック"/>
        </w:rPr>
        <w:t>1/4</w:t>
      </w:r>
      <w:r>
        <w:rPr>
          <w:rFonts w:hint="eastAsia" w:ascii="ＭＳ Ｐゴシック" w:hAnsi="ＭＳ Ｐゴシック" w:eastAsia="ＭＳ Ｐゴシック"/>
        </w:rPr>
        <w:t>）</w:t>
      </w:r>
      <w:bookmarkEnd w:id="19"/>
    </w:p>
    <w:p>
      <w:pPr>
        <w:pStyle w:val="49"/>
        <w:ind w:left="100" w:firstLine="200"/>
        <w:jc w:val="both"/>
        <w:rPr>
          <w:rFonts w:hint="default"/>
        </w:rPr>
      </w:pPr>
      <w:r>
        <w:rPr>
          <w:rFonts w:hint="default"/>
        </w:rPr>
        <w:br w:type="page"/>
      </w:r>
    </w:p>
    <w:p>
      <w:pPr>
        <w:pStyle w:val="49"/>
        <w:ind w:left="0" w:leftChars="0" w:firstLine="0" w:firstLineChars="0"/>
        <w:rPr>
          <w:rFonts w:hint="default"/>
        </w:rPr>
      </w:pPr>
    </w:p>
    <w:tbl>
      <w:tblPr>
        <w:tblStyle w:val="57"/>
        <w:tblW w:w="0" w:type="auto"/>
        <w:tblInd w:w="0" w:type="dxa"/>
        <w:tblLayout w:type="fixed"/>
        <w:tblLook w:firstRow="1" w:lastRow="0" w:firstColumn="1" w:lastColumn="0" w:noHBand="0" w:noVBand="1" w:val="04A0"/>
      </w:tblPr>
      <w:tblGrid>
        <w:gridCol w:w="4460"/>
        <w:gridCol w:w="4460"/>
      </w:tblGrid>
      <w:tr>
        <w:trPr>
          <w:trHeight w:val="6160" w:hRule="atLeast"/>
        </w:trPr>
        <w:tc>
          <w:tcPr>
            <w:tcW w:w="4460" w:type="dxa"/>
            <w:vAlign w:val="top"/>
          </w:tcPr>
          <w:p>
            <w:pPr>
              <w:pStyle w:val="49"/>
              <w:ind w:left="0" w:leftChars="0" w:firstLine="0" w:firstLineChars="0"/>
              <w:jc w:val="center"/>
              <w:rPr>
                <w:rFonts w:hint="default"/>
              </w:rPr>
            </w:pPr>
            <w:r>
              <w:rPr>
                <w:rFonts w:hint="default"/>
              </w:rPr>
              <w:drawing>
                <wp:inline distT="0" distB="0" distL="0" distR="0">
                  <wp:extent cx="2663825" cy="3765550"/>
                  <wp:effectExtent l="24130" t="24130" r="23495" b="23495"/>
                  <wp:docPr id="1053" name="図 232"/>
                  <a:graphic xmlns:a="http://schemas.openxmlformats.org/drawingml/2006/main">
                    <a:graphicData uri="http://schemas.openxmlformats.org/drawingml/2006/picture">
                      <pic:pic xmlns:pic="http://schemas.openxmlformats.org/drawingml/2006/picture">
                        <pic:nvPicPr>
                          <pic:cNvPr id="1053" name="図 232"/>
                          <pic:cNvPicPr>
                            <a:picLocks noChangeAspect="1" noChangeArrowheads="1"/>
                          </pic:cNvPicPr>
                        </pic:nvPicPr>
                        <pic:blipFill>
                          <a:blip r:embed="rId36"/>
                          <a:stretch>
                            <a:fillRect/>
                          </a:stretch>
                        </pic:blipFill>
                        <pic:spPr>
                          <a:xfrm>
                            <a:off x="0" y="0"/>
                            <a:ext cx="2663825" cy="3765550"/>
                          </a:xfrm>
                          <a:prstGeom prst="rect">
                            <a:avLst/>
                          </a:prstGeom>
                          <a:noFill/>
                          <a:ln w="6350">
                            <a:solidFill>
                              <a:srgbClr val="000000"/>
                            </a:solidFill>
                            <a:miter lim="800000"/>
                            <a:headEnd/>
                            <a:tailEnd/>
                          </a:ln>
                        </pic:spPr>
                      </pic:pic>
                    </a:graphicData>
                  </a:graphic>
                </wp:inline>
              </w:drawing>
            </w:r>
          </w:p>
        </w:tc>
        <w:tc>
          <w:tcPr>
            <w:tcW w:w="4460" w:type="dxa"/>
            <w:vAlign w:val="top"/>
          </w:tcPr>
          <w:p>
            <w:pPr>
              <w:pStyle w:val="49"/>
              <w:ind w:left="0" w:leftChars="0" w:firstLine="0" w:firstLineChars="0"/>
              <w:jc w:val="center"/>
              <w:rPr>
                <w:rFonts w:hint="default"/>
              </w:rPr>
            </w:pPr>
            <w:r>
              <w:rPr>
                <w:rFonts w:hint="default"/>
              </w:rPr>
              <w:drawing>
                <wp:inline distT="0" distB="0" distL="0" distR="0">
                  <wp:extent cx="2663190" cy="3765550"/>
                  <wp:effectExtent l="24130" t="24130" r="23495" b="23495"/>
                  <wp:docPr id="1054" name="図 231"/>
                  <a:graphic xmlns:a="http://schemas.openxmlformats.org/drawingml/2006/main">
                    <a:graphicData uri="http://schemas.openxmlformats.org/drawingml/2006/picture">
                      <pic:pic xmlns:pic="http://schemas.openxmlformats.org/drawingml/2006/picture">
                        <pic:nvPicPr>
                          <pic:cNvPr id="1054" name="図 231"/>
                          <pic:cNvPicPr>
                            <a:picLocks noChangeAspect="1" noChangeArrowheads="1"/>
                          </pic:cNvPicPr>
                        </pic:nvPicPr>
                        <pic:blipFill>
                          <a:blip r:embed="rId37"/>
                          <a:stretch>
                            <a:fillRect/>
                          </a:stretch>
                        </pic:blipFill>
                        <pic:spPr>
                          <a:xfrm>
                            <a:off x="0" y="0"/>
                            <a:ext cx="2663190" cy="3765550"/>
                          </a:xfrm>
                          <a:prstGeom prst="rect">
                            <a:avLst/>
                          </a:prstGeom>
                          <a:noFill/>
                          <a:ln w="6350">
                            <a:solidFill>
                              <a:srgbClr val="000000"/>
                            </a:solidFill>
                            <a:miter lim="800000"/>
                            <a:headEnd/>
                            <a:tailEnd/>
                          </a:ln>
                        </pic:spPr>
                      </pic:pic>
                    </a:graphicData>
                  </a:graphic>
                </wp:inline>
              </w:drawing>
            </w:r>
          </w:p>
        </w:tc>
      </w:tr>
      <w:tr>
        <w:trPr>
          <w:trHeight w:val="5794" w:hRule="atLeast"/>
        </w:trPr>
        <w:tc>
          <w:tcPr>
            <w:tcW w:w="4460" w:type="dxa"/>
            <w:vAlign w:val="top"/>
          </w:tcPr>
          <w:p>
            <w:pPr>
              <w:pStyle w:val="49"/>
              <w:ind w:left="0" w:leftChars="0" w:firstLine="0" w:firstLineChars="0"/>
              <w:jc w:val="both"/>
              <w:rPr>
                <w:rFonts w:hint="default"/>
              </w:rPr>
            </w:pPr>
            <w:r>
              <w:rPr>
                <w:rFonts w:hint="default"/>
              </w:rPr>
              <w:drawing>
                <wp:inline distT="0" distB="0" distL="0" distR="0">
                  <wp:extent cx="2668270" cy="3771900"/>
                  <wp:effectExtent l="24130" t="24130" r="23495" b="23495"/>
                  <wp:docPr id="1055" name="図 233"/>
                  <a:graphic xmlns:a="http://schemas.openxmlformats.org/drawingml/2006/main">
                    <a:graphicData uri="http://schemas.openxmlformats.org/drawingml/2006/picture">
                      <pic:pic xmlns:pic="http://schemas.openxmlformats.org/drawingml/2006/picture">
                        <pic:nvPicPr>
                          <pic:cNvPr id="1055" name="図 233"/>
                          <pic:cNvPicPr>
                            <a:picLocks noChangeAspect="1" noChangeArrowheads="1"/>
                          </pic:cNvPicPr>
                        </pic:nvPicPr>
                        <pic:blipFill>
                          <a:blip r:embed="rId38"/>
                          <a:stretch>
                            <a:fillRect/>
                          </a:stretch>
                        </pic:blipFill>
                        <pic:spPr>
                          <a:xfrm>
                            <a:off x="0" y="0"/>
                            <a:ext cx="2668270" cy="3771900"/>
                          </a:xfrm>
                          <a:prstGeom prst="rect">
                            <a:avLst/>
                          </a:prstGeom>
                          <a:noFill/>
                          <a:ln w="6350">
                            <a:solidFill>
                              <a:srgbClr val="000000"/>
                            </a:solidFill>
                            <a:miter lim="800000"/>
                            <a:headEnd/>
                            <a:tailEnd/>
                          </a:ln>
                        </pic:spPr>
                      </pic:pic>
                    </a:graphicData>
                  </a:graphic>
                </wp:inline>
              </w:drawing>
            </w:r>
          </w:p>
        </w:tc>
        <w:tc>
          <w:tcPr>
            <w:tcW w:w="4460" w:type="dxa"/>
            <w:vAlign w:val="top"/>
          </w:tcPr>
          <w:p>
            <w:pPr>
              <w:pStyle w:val="49"/>
              <w:ind w:left="0" w:leftChars="0" w:firstLine="0" w:firstLineChars="0"/>
              <w:jc w:val="both"/>
              <w:rPr>
                <w:rFonts w:hint="default"/>
              </w:rPr>
            </w:pPr>
          </w:p>
        </w:tc>
      </w:tr>
    </w:tbl>
    <w:p>
      <w:pPr>
        <w:pStyle w:val="49"/>
        <w:ind w:left="0" w:leftChars="0" w:firstLine="0" w:firstLineChars="0"/>
        <w:jc w:val="center"/>
        <w:rPr>
          <w:rFonts w:hint="default" w:ascii="ＭＳ Ｐゴシック" w:hAnsi="ＭＳ Ｐゴシック" w:eastAsia="ＭＳ Ｐゴシック"/>
        </w:rPr>
      </w:pPr>
    </w:p>
    <w:p>
      <w:pPr>
        <w:pStyle w:val="49"/>
        <w:ind w:left="0" w:leftChars="0" w:firstLine="0" w:firstLineChars="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REF _Ref53663985 \h  \* MERGEFORMAT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8</w:t>
      </w:r>
      <w:r>
        <w:rPr>
          <w:rFonts w:hint="eastAsia"/>
        </w:rPr>
        <w:fldChar w:fldCharType="end"/>
      </w:r>
      <w:r>
        <w:rPr>
          <w:rFonts w:hint="eastAsia" w:ascii="ＭＳ Ｐゴシック" w:hAnsi="ＭＳ Ｐゴシック" w:eastAsia="ＭＳ Ｐゴシック"/>
        </w:rPr>
        <w:t>(2)</w:t>
      </w:r>
      <w:r>
        <w:rPr>
          <w:rFonts w:hint="eastAsia" w:ascii="ＭＳ Ｐゴシック" w:hAnsi="ＭＳ Ｐゴシック" w:eastAsia="ＭＳ Ｐゴシック"/>
        </w:rPr>
        <w:t>　劣化状況事前調査票（</w:t>
      </w:r>
      <w:r>
        <w:rPr>
          <w:rFonts w:hint="eastAsia" w:ascii="ＭＳ Ｐゴシック" w:hAnsi="ＭＳ Ｐゴシック" w:eastAsia="ＭＳ Ｐゴシック"/>
        </w:rPr>
        <w:t>2/4</w:t>
      </w:r>
      <w:r>
        <w:rPr>
          <w:rFonts w:hint="eastAsia" w:ascii="ＭＳ Ｐゴシック" w:hAnsi="ＭＳ Ｐゴシック" w:eastAsia="ＭＳ Ｐゴシック"/>
        </w:rPr>
        <w:t>、</w:t>
      </w:r>
      <w:r>
        <w:rPr>
          <w:rFonts w:hint="eastAsia" w:ascii="ＭＳ Ｐゴシック" w:hAnsi="ＭＳ Ｐゴシック" w:eastAsia="ＭＳ Ｐゴシック"/>
        </w:rPr>
        <w:t>3/4</w:t>
      </w:r>
      <w:r>
        <w:rPr>
          <w:rFonts w:hint="eastAsia" w:ascii="ＭＳ Ｐゴシック" w:hAnsi="ＭＳ Ｐゴシック" w:eastAsia="ＭＳ Ｐゴシック"/>
        </w:rPr>
        <w:t>、</w:t>
      </w:r>
      <w:r>
        <w:rPr>
          <w:rFonts w:hint="eastAsia" w:ascii="ＭＳ Ｐゴシック" w:hAnsi="ＭＳ Ｐゴシック" w:eastAsia="ＭＳ Ｐゴシック"/>
        </w:rPr>
        <w:t>4/4</w:t>
      </w:r>
      <w:r>
        <w:rPr>
          <w:rFonts w:hint="eastAsia" w:ascii="ＭＳ Ｐゴシック" w:hAnsi="ＭＳ Ｐゴシック" w:eastAsia="ＭＳ Ｐゴシック"/>
        </w:rPr>
        <w:t>）</w:t>
      </w:r>
    </w:p>
    <w:p>
      <w:pPr>
        <w:pStyle w:val="49"/>
        <w:ind w:left="0" w:leftChars="0" w:firstLine="0" w:firstLineChars="0"/>
        <w:rPr>
          <w:rFonts w:hint="default" w:ascii="ＭＳ Ｐゴシック" w:hAnsi="ＭＳ Ｐゴシック" w:eastAsia="ＭＳ Ｐゴシック"/>
        </w:rPr>
      </w:pPr>
    </w:p>
    <w:p>
      <w:pPr>
        <w:pStyle w:val="0"/>
        <w:widowControl w:val="1"/>
        <w:jc w:val="left"/>
        <w:rPr>
          <w:rFonts w:hint="default"/>
        </w:rPr>
      </w:pPr>
    </w:p>
    <w:p>
      <w:pPr>
        <w:pStyle w:val="34"/>
        <w:numPr>
          <w:ilvl w:val="0"/>
          <w:numId w:val="7"/>
        </w:numPr>
        <w:ind w:left="100" w:leftChars="50" w:firstLine="0"/>
        <w:rPr>
          <w:rFonts w:hint="default"/>
          <w:b w:val="1"/>
        </w:rPr>
      </w:pPr>
      <w:r>
        <w:rPr>
          <w:rFonts w:hint="eastAsia"/>
          <w:b w:val="1"/>
        </w:rPr>
        <w:t>現地調査による劣化状況等の評価</w:t>
      </w:r>
    </w:p>
    <w:p>
      <w:pPr>
        <w:pStyle w:val="49"/>
        <w:ind w:left="200" w:leftChars="100" w:firstLine="0" w:firstLineChars="0"/>
        <w:jc w:val="both"/>
        <w:rPr>
          <w:rFonts w:hint="default" w:ascii="ＭＳ 明朝" w:hAnsi="ＭＳ 明朝"/>
        </w:rPr>
      </w:pPr>
      <w:r>
        <w:rPr>
          <w:rFonts w:hint="eastAsia" w:ascii="ＭＳ 明朝" w:hAnsi="ＭＳ 明朝"/>
        </w:rPr>
        <w:t>　構造躯体以外の劣化状況等の評価については、各建物の劣化状況調査票を作成することにより、劣化状況を把握しました。</w:t>
      </w:r>
    </w:p>
    <w:p>
      <w:pPr>
        <w:pStyle w:val="49"/>
        <w:ind w:left="200" w:leftChars="100" w:firstLine="0" w:firstLineChars="0"/>
        <w:jc w:val="both"/>
        <w:rPr>
          <w:rFonts w:hint="default" w:ascii="ＭＳ 明朝" w:hAnsi="ＭＳ 明朝"/>
        </w:rPr>
      </w:pPr>
      <w:r>
        <w:rPr>
          <w:rFonts w:hint="eastAsia" w:ascii="ＭＳ 明朝" w:hAnsi="ＭＳ 明朝"/>
        </w:rPr>
        <w:t>　具体的な調査の内容は、建物ごとの屋根・屋上、外壁、内部仕上、電気設備、機械設備の５つの部位について劣化状況調査を行い、屋根・屋上、外壁については、目視調査により雨漏りの状況や、ひび割れなどの状況を調査し、内部仕上、電気設備、機械設備については、過去に行った工事などの実施年度から経過年数を調査しました。</w:t>
      </w:r>
    </w:p>
    <w:p>
      <w:pPr>
        <w:pStyle w:val="49"/>
        <w:ind w:left="200" w:leftChars="100" w:firstLine="0" w:firstLineChars="0"/>
        <w:jc w:val="both"/>
        <w:rPr>
          <w:rFonts w:hint="default" w:ascii="ＭＳ 明朝" w:hAnsi="ＭＳ 明朝"/>
        </w:rPr>
      </w:pPr>
      <w:r>
        <w:rPr>
          <w:rFonts w:hint="eastAsia" w:ascii="ＭＳ 明朝" w:hAnsi="ＭＳ 明朝"/>
        </w:rPr>
        <w:t>　劣化の評価基準は下表に示すとおりであり、部位毎に劣化状況及び改修歴を考慮し設定しました。</w:t>
      </w:r>
    </w:p>
    <w:p>
      <w:pPr>
        <w:pStyle w:val="49"/>
        <w:ind w:left="200" w:leftChars="100" w:firstLine="0" w:firstLineChars="0"/>
        <w:jc w:val="both"/>
        <w:rPr>
          <w:rFonts w:hint="default" w:ascii="ＭＳ 明朝" w:hAnsi="ＭＳ 明朝"/>
        </w:rPr>
      </w:pPr>
      <w:r>
        <w:rPr>
          <w:rFonts w:hint="eastAsia" w:ascii="ＭＳ 明朝" w:hAnsi="ＭＳ 明朝"/>
        </w:rPr>
        <w:t>　また、健全度の算出方法は次頁に示すとおりです。</w:t>
      </w:r>
    </w:p>
    <w:p>
      <w:pPr>
        <w:pStyle w:val="49"/>
        <w:ind w:left="200" w:leftChars="100" w:firstLine="0" w:firstLineChars="0"/>
        <w:jc w:val="both"/>
        <w:rPr>
          <w:rFonts w:hint="default" w:ascii="ＭＳ 明朝" w:hAnsi="ＭＳ 明朝"/>
        </w:rPr>
      </w:pPr>
    </w:p>
    <w:p>
      <w:pPr>
        <w:pStyle w:val="33"/>
        <w:ind w:left="200" w:leftChars="100"/>
        <w:rPr>
          <w:rFonts w:hint="default" w:ascii="ＭＳ Ｐゴシック" w:hAnsi="ＭＳ Ｐゴシック" w:eastAsia="ＭＳ Ｐゴシック"/>
          <w:b w:val="0"/>
          <w:color w:val="000000" w:themeColor="text1"/>
        </w:rPr>
      </w:pPr>
      <w:bookmarkStart w:id="20" w:name="_Ref62284836"/>
      <w:bookmarkStart w:id="21" w:name="_Ref62284811"/>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5</w:t>
      </w:r>
      <w:r>
        <w:rPr>
          <w:rFonts w:hint="eastAsia"/>
        </w:rPr>
        <w:fldChar w:fldCharType="end"/>
      </w:r>
      <w:bookmarkEnd w:id="20"/>
      <w:r>
        <w:rPr>
          <w:rFonts w:hint="eastAsia" w:ascii="ＭＳ Ｐゴシック" w:hAnsi="ＭＳ Ｐゴシック" w:eastAsia="ＭＳ Ｐゴシック"/>
          <w:b w:val="0"/>
        </w:rPr>
        <w:t>　部位毎の評価基準</w:t>
      </w:r>
      <w:bookmarkEnd w:id="21"/>
    </w:p>
    <w:tbl>
      <w:tblPr>
        <w:tblStyle w:val="57"/>
        <w:tblW w:w="8505" w:type="dxa"/>
        <w:tblInd w:w="279" w:type="dxa"/>
        <w:tblLayout w:type="fixed"/>
        <w:tblLook w:firstRow="1" w:lastRow="0" w:firstColumn="1" w:lastColumn="0" w:noHBand="0" w:noVBand="1" w:val="04A0"/>
      </w:tblPr>
      <w:tblGrid>
        <w:gridCol w:w="708"/>
        <w:gridCol w:w="1985"/>
        <w:gridCol w:w="1985"/>
        <w:gridCol w:w="1275"/>
        <w:gridCol w:w="1276"/>
        <w:gridCol w:w="1276"/>
      </w:tblGrid>
      <w:tr>
        <w:trPr>
          <w:trHeight w:val="649" w:hRule="atLeast"/>
        </w:trPr>
        <w:tc>
          <w:tcPr>
            <w:tcW w:w="708" w:type="dxa"/>
            <w:tcBorders>
              <w:top w:val="none" w:color="auto" w:sz="0" w:space="0"/>
              <w:left w:val="none" w:color="auto" w:sz="0" w:space="0"/>
              <w:bottom w:val="single" w:color="auto" w:sz="4" w:space="0"/>
              <w:right w:val="none" w:color="auto" w:sz="0" w:space="0"/>
              <w:tl2br w:val="single" w:color="auto" w:sz="4" w:space="0"/>
              <w:tr2bl w:val="none" w:color="auto" w:sz="0" w:space="0"/>
            </w:tcBorders>
            <w:shd w:val="clear" w:color="auto" w:themeFill="background1" w:themeFillTint="FF" w:themeFillShade="D9"/>
            <w:vAlign w:val="center"/>
          </w:tcPr>
          <w:p>
            <w:pPr>
              <w:pStyle w:val="0"/>
              <w:snapToGrid w:val="0"/>
              <w:jc w:val="right"/>
              <w:rPr>
                <w:rFonts w:hint="default" w:ascii="ＭＳ Ｐゴシック" w:hAnsi="ＭＳ Ｐゴシック" w:eastAsia="ＭＳ Ｐゴシック"/>
                <w:sz w:val="16"/>
              </w:rPr>
            </w:pPr>
            <w:r>
              <w:rPr>
                <w:rFonts w:hint="eastAsia" w:ascii="ＭＳ Ｐゴシック" w:hAnsi="ＭＳ Ｐゴシック" w:eastAsia="ＭＳ Ｐゴシック"/>
                <w:sz w:val="16"/>
              </w:rPr>
              <w:t>部位</w:t>
            </w:r>
          </w:p>
          <w:p>
            <w:pPr>
              <w:pStyle w:val="0"/>
              <w:snapToGrid w:val="0"/>
              <w:jc w:val="left"/>
              <w:rPr>
                <w:rFonts w:hint="default" w:ascii="ＭＳ Ｐゴシック" w:hAnsi="ＭＳ Ｐゴシック" w:eastAsia="ＭＳ Ｐゴシック"/>
                <w:sz w:val="16"/>
              </w:rPr>
            </w:pPr>
            <w:r>
              <w:rPr>
                <w:rFonts w:hint="eastAsia" w:ascii="ＭＳ Ｐゴシック" w:hAnsi="ＭＳ Ｐゴシック" w:eastAsia="ＭＳ Ｐゴシック"/>
                <w:sz w:val="16"/>
              </w:rPr>
              <w:t>評</w:t>
            </w:r>
          </w:p>
          <w:p>
            <w:pPr>
              <w:pStyle w:val="0"/>
              <w:snapToGrid w:val="0"/>
              <w:jc w:val="left"/>
              <w:rPr>
                <w:rFonts w:hint="default" w:ascii="ＭＳ Ｐゴシック" w:hAnsi="ＭＳ Ｐゴシック" w:eastAsia="ＭＳ Ｐゴシック"/>
                <w:sz w:val="16"/>
              </w:rPr>
            </w:pPr>
            <w:r>
              <w:rPr>
                <w:rFonts w:hint="eastAsia" w:ascii="ＭＳ Ｐゴシック" w:hAnsi="ＭＳ Ｐゴシック" w:eastAsia="ＭＳ Ｐゴシック"/>
                <w:sz w:val="16"/>
              </w:rPr>
              <w:t>価</w:t>
            </w:r>
          </w:p>
          <w:p>
            <w:pPr>
              <w:pStyle w:val="0"/>
              <w:snapToGrid w:val="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6"/>
              </w:rPr>
              <w:t>点</w:t>
            </w:r>
          </w:p>
        </w:tc>
        <w:tc>
          <w:tcPr>
            <w:tcW w:w="1985" w:type="dxa"/>
            <w:shd w:val="clear" w:color="auto" w:themeFill="background1" w:themeFillTint="FF" w:themeFillShade="D9"/>
            <w:vAlign w:val="center"/>
          </w:tcPr>
          <w:p>
            <w:pPr>
              <w:pStyle w:val="0"/>
              <w:snapToGrid w:val="0"/>
              <w:ind w:left="200" w:left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１</w:t>
            </w:r>
          </w:p>
          <w:p>
            <w:pPr>
              <w:pStyle w:val="0"/>
              <w:snapToGrid w:val="0"/>
              <w:ind w:left="200" w:left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屋根・屋上</w:t>
            </w:r>
          </w:p>
        </w:tc>
        <w:tc>
          <w:tcPr>
            <w:tcW w:w="1985" w:type="dxa"/>
            <w:shd w:val="clear" w:color="auto" w:themeFill="background1" w:themeFillTint="FF" w:themeFillShade="D9"/>
            <w:vAlign w:val="center"/>
          </w:tcPr>
          <w:p>
            <w:pPr>
              <w:pStyle w:val="0"/>
              <w:snapToGrid w:val="0"/>
              <w:ind w:left="200" w:left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２</w:t>
            </w:r>
          </w:p>
          <w:p>
            <w:pPr>
              <w:pStyle w:val="0"/>
              <w:snapToGrid w:val="0"/>
              <w:ind w:left="200" w:left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外壁</w:t>
            </w:r>
          </w:p>
        </w:tc>
        <w:tc>
          <w:tcPr>
            <w:tcW w:w="1275" w:type="dxa"/>
            <w:shd w:val="clear" w:color="auto" w:themeFill="background1" w:themeFillTint="FF" w:themeFillShade="D9"/>
            <w:vAlign w:val="center"/>
          </w:tcPr>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３</w:t>
            </w:r>
          </w:p>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内部仕上げ</w:t>
            </w:r>
          </w:p>
        </w:tc>
        <w:tc>
          <w:tcPr>
            <w:tcW w:w="1276" w:type="dxa"/>
            <w:shd w:val="clear" w:color="auto" w:themeFill="background1" w:themeFillTint="FF" w:themeFillShade="D9"/>
            <w:vAlign w:val="center"/>
          </w:tcPr>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４</w:t>
            </w:r>
          </w:p>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電気設備</w:t>
            </w:r>
          </w:p>
        </w:tc>
        <w:tc>
          <w:tcPr>
            <w:tcW w:w="1276" w:type="dxa"/>
            <w:shd w:val="clear" w:color="auto" w:themeFill="background1" w:themeFillTint="FF" w:themeFillShade="D9"/>
            <w:vAlign w:val="center"/>
          </w:tcPr>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５</w:t>
            </w:r>
          </w:p>
          <w:p>
            <w:pPr>
              <w:pStyle w:val="0"/>
              <w:snapToGrid w:val="0"/>
              <w:ind w:left="100" w:leftChars="5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機械設備</w:t>
            </w:r>
          </w:p>
        </w:tc>
      </w:tr>
      <w:tr>
        <w:trPr/>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CCECFF"/>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Ａ</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100</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概ね良好（改修後１０年以内又は新築で概ね良好なもの）</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概ね良好（改修後１０年以内又は新築で概ね良好なもの）</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築</w:t>
            </w:r>
            <w:r>
              <w:rPr>
                <w:rFonts w:hint="eastAsia" w:ascii="ＭＳ Ｐゴシック" w:hAnsi="ＭＳ Ｐゴシック" w:eastAsia="ＭＳ Ｐゴシック"/>
                <w:sz w:val="18"/>
              </w:rPr>
              <w:t>20</w:t>
            </w:r>
            <w:r>
              <w:rPr>
                <w:rFonts w:hint="eastAsia" w:ascii="ＭＳ Ｐゴシック" w:hAnsi="ＭＳ Ｐゴシック" w:eastAsia="ＭＳ Ｐゴシック"/>
                <w:sz w:val="18"/>
              </w:rPr>
              <w:t>年未満のもの。</w:t>
            </w:r>
          </w:p>
        </w:tc>
      </w:tr>
      <w:tr>
        <w:trPr/>
        <w:tc>
          <w:tcPr>
            <w:tcW w:w="708" w:type="dxa"/>
            <w:shd w:val="clear" w:color="auto" w:fill="CCECFF"/>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Ａ</w:t>
            </w:r>
            <w:r>
              <w:rPr>
                <w:rFonts w:hint="eastAsia" w:ascii="ＭＳ Ｐゴシック" w:hAnsi="ＭＳ Ｐゴシック" w:eastAsia="ＭＳ Ｐゴシック"/>
                <w:b w:val="1"/>
                <w:sz w:val="18"/>
              </w:rPr>
              <w:t>-</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85</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若干のシートの膨れ・しわがある、また金属や屋根の塗装の劣化等がある。</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小規模なクラック、浮きがある。</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10</w:t>
            </w:r>
            <w:r>
              <w:rPr>
                <w:rFonts w:hint="eastAsia" w:ascii="ＭＳ Ｐゴシック" w:hAnsi="ＭＳ Ｐゴシック" w:eastAsia="ＭＳ Ｐゴシック"/>
                <w:sz w:val="18"/>
              </w:rPr>
              <w:t>年以内に大規模な改修履歴があるもの。</w:t>
            </w:r>
          </w:p>
        </w:tc>
      </w:tr>
      <w:tr>
        <w:trPr/>
        <w:tc>
          <w:tcPr>
            <w:tcW w:w="708" w:type="dxa"/>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Ｂ</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75</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部分的な劣化がありシートの膨れ・変形また金属屋根の錆がある。</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部分的な劣化がありひび割れ、浮きなどがある。</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築年数が概ね</w:t>
            </w: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年から</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年程度が経過するもので、改修履歴があるもの。</w:t>
            </w:r>
          </w:p>
        </w:tc>
      </w:tr>
      <w:tr>
        <w:trPr/>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Ｂ</w:t>
            </w:r>
            <w:r>
              <w:rPr>
                <w:rFonts w:hint="eastAsia" w:ascii="ＭＳ Ｐゴシック" w:hAnsi="ＭＳ Ｐゴシック" w:eastAsia="ＭＳ Ｐゴシック"/>
                <w:b w:val="1"/>
                <w:sz w:val="18"/>
              </w:rPr>
              <w:t>-</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55</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Ｂ評価に加えて欠損・破損個所がいくつかある。</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Ｂ評価に加えて、露筋や爆裂箇所がいくつかある。</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築年数が概ね</w:t>
            </w: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年から</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年程度が経過するもので、改修履歴がないもの。</w:t>
            </w:r>
          </w:p>
        </w:tc>
      </w:tr>
      <w:tr>
        <w:trPr/>
        <w:tc>
          <w:tcPr>
            <w:tcW w:w="7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2BC86"/>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Ｃ</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40</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広範囲に劣化が生じている。</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広範囲のひび割れがあり、露筋・爆裂・欠損などが生じている。</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築年数が概ね</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年を超え改修履歴がないもの。</w:t>
            </w:r>
          </w:p>
        </w:tc>
      </w:tr>
      <w:tr>
        <w:trPr/>
        <w:tc>
          <w:tcPr>
            <w:tcW w:w="708" w:type="dxa"/>
            <w:shd w:val="clear" w:color="auto" w:fill="B96425"/>
            <w:vAlign w:val="center"/>
          </w:tcPr>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D</w:t>
            </w:r>
          </w:p>
          <w:p>
            <w:pPr>
              <w:pStyle w:val="0"/>
              <w:spacing w:line="240" w:lineRule="exact"/>
              <w:jc w:val="center"/>
              <w:rPr>
                <w:rFonts w:hint="default" w:ascii="ＭＳ Ｐゴシック" w:hAnsi="ＭＳ Ｐゴシック" w:eastAsia="ＭＳ Ｐゴシック"/>
                <w:b w:val="1"/>
                <w:sz w:val="18"/>
              </w:rPr>
            </w:pPr>
            <w:r>
              <w:rPr>
                <w:rFonts w:hint="eastAsia" w:ascii="ＭＳ Ｐゴシック" w:hAnsi="ＭＳ Ｐゴシック" w:eastAsia="ＭＳ Ｐゴシック"/>
                <w:b w:val="1"/>
                <w:sz w:val="18"/>
              </w:rPr>
              <w:t>10</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早急に対応する必要がある</w:t>
            </w:r>
          </w:p>
        </w:tc>
        <w:tc>
          <w:tcPr>
            <w:tcW w:w="1985" w:type="dxa"/>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早急に対応する必要がある。</w:t>
            </w:r>
          </w:p>
        </w:tc>
        <w:tc>
          <w:tcPr>
            <w:tcW w:w="3827" w:type="dxa"/>
            <w:gridSpan w:val="3"/>
            <w:vAlign w:val="top"/>
          </w:tcPr>
          <w:p>
            <w:pPr>
              <w:pStyle w:val="0"/>
              <w:snapToGrid w:val="0"/>
              <w:spacing w:before="190" w:beforeLines="50" w:beforeAutospacing="0" w:after="190" w:afterLines="50" w:afterAutospacing="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改修歴・築年数にかかわらず著しい劣化事象があるもの。</w:t>
            </w:r>
          </w:p>
        </w:tc>
      </w:tr>
    </w:tbl>
    <w:p>
      <w:pPr>
        <w:pStyle w:val="49"/>
        <w:ind w:left="300" w:leftChars="15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※ただし、劣化状況調査によりランクを下げる場合あり。</w:t>
      </w:r>
    </w:p>
    <w:p>
      <w:pPr>
        <w:pStyle w:val="49"/>
        <w:ind w:left="300" w:leftChars="150" w:firstLine="0" w:firstLineChars="0"/>
        <w:jc w:val="both"/>
        <w:rPr>
          <w:rFonts w:hint="default" w:ascii="ＭＳ Ｐゴシック" w:hAnsi="ＭＳ Ｐゴシック" w:eastAsia="ＭＳ Ｐゴシック"/>
          <w:sz w:val="18"/>
        </w:rPr>
      </w:pPr>
    </w:p>
    <w:p>
      <w:pPr>
        <w:pStyle w:val="0"/>
        <w:widowControl w:val="1"/>
        <w:jc w:val="left"/>
        <w:rPr>
          <w:rFonts w:hint="default" w:ascii="ＭＳ 明朝" w:hAnsi="ＭＳ 明朝"/>
          <w:sz w:val="22"/>
        </w:rPr>
      </w:pPr>
      <w:r>
        <w:rPr>
          <w:rFonts w:hint="default" w:ascii="ＭＳ 明朝" w:hAnsi="ＭＳ 明朝"/>
          <w:sz w:val="22"/>
        </w:rPr>
        <w:br w:type="page"/>
      </w:r>
    </w:p>
    <w:p>
      <w:pPr>
        <w:pStyle w:val="0"/>
        <w:widowControl w:val="1"/>
        <w:jc w:val="left"/>
        <w:rPr>
          <w:rFonts w:hint="default" w:ascii="ＭＳ 明朝" w:hAnsi="ＭＳ 明朝"/>
          <w:sz w:val="22"/>
        </w:rPr>
      </w:pPr>
    </w:p>
    <w:p>
      <w:pPr>
        <w:pStyle w:val="34"/>
        <w:ind w:left="600" w:leftChars="300"/>
        <w:rPr>
          <w:rFonts w:hint="default" w:ascii="ＭＳ 明朝" w:hAnsi="ＭＳ 明朝"/>
          <w:sz w:val="22"/>
        </w:rPr>
      </w:pPr>
    </w:p>
    <w:p>
      <w:pPr>
        <w:pStyle w:val="34"/>
        <w:ind w:left="400" w:leftChars="200"/>
        <w:rPr>
          <w:rFonts w:hint="default" w:ascii="ＭＳ Ｐゴシック" w:hAnsi="ＭＳ Ｐゴシック" w:eastAsia="ＭＳ Ｐゴシック"/>
          <w:sz w:val="22"/>
        </w:rPr>
      </w:pPr>
      <w:r>
        <w:rPr>
          <w:rFonts w:hint="eastAsia" w:ascii="ＭＳ Ｐゴシック" w:hAnsi="ＭＳ Ｐゴシック" w:eastAsia="ＭＳ Ｐゴシック"/>
          <w:sz w:val="22"/>
        </w:rPr>
        <w:t>■健全度の算出方法</w:t>
      </w:r>
    </w:p>
    <w:tbl>
      <w:tblPr>
        <w:tblStyle w:val="11"/>
        <w:tblW w:w="6951"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134"/>
        <w:gridCol w:w="1423"/>
        <w:gridCol w:w="1134"/>
        <w:gridCol w:w="1843"/>
        <w:gridCol w:w="1417"/>
      </w:tblGrid>
      <w:tr>
        <w:trPr/>
        <w:tc>
          <w:tcPr>
            <w:tcW w:w="2557" w:type="dxa"/>
            <w:gridSpan w:val="2"/>
            <w:tcBorders>
              <w:top w:val="nil"/>
              <w:left w:val="nil"/>
              <w:bottom w:val="none" w:color="auto" w:sz="0" w:space="0"/>
              <w:right w:val="nil"/>
              <w:tl2br w:val="none" w:color="auto" w:sz="0" w:space="0"/>
              <w:tr2bl w:val="none" w:color="auto" w:sz="0" w:space="0"/>
            </w:tcBorders>
            <w:shd w:val="clear" w:color="auto" w:fill="auto"/>
            <w:vAlign w:val="center"/>
          </w:tcPr>
          <w:p>
            <w:pPr>
              <w:pStyle w:val="0"/>
              <w:jc w:val="left"/>
              <w:rPr>
                <w:rFonts w:hint="default" w:ascii="ＭＳ Ｐゴシック" w:hAnsi="ＭＳ Ｐゴシック" w:eastAsia="ＭＳ Ｐゴシック"/>
                <w:sz w:val="18"/>
              </w:rPr>
            </w:pPr>
            <w:r>
              <w:rPr>
                <w:rFonts w:hint="eastAsia" w:ascii="ＭＳ Ｐゴシック" w:hAnsi="ＭＳ Ｐゴシック" w:eastAsia="ＭＳ Ｐゴシック"/>
              </w:rPr>
              <w:t>部位の評価点</w:t>
            </w:r>
          </w:p>
        </w:tc>
        <w:tc>
          <w:tcPr>
            <w:tcW w:w="1134" w:type="dxa"/>
            <w:tcBorders>
              <w:top w:val="nil"/>
              <w:left w:val="nil"/>
              <w:bottom w:val="nil"/>
              <w:right w:val="nil"/>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p>
        </w:tc>
        <w:tc>
          <w:tcPr>
            <w:tcW w:w="3260" w:type="dxa"/>
            <w:gridSpan w:val="2"/>
            <w:tcBorders>
              <w:top w:val="nil"/>
              <w:left w:val="nil"/>
              <w:bottom w:val="none" w:color="auto" w:sz="0" w:space="0"/>
              <w:right w:val="nil"/>
              <w:tl2br w:val="none" w:color="auto" w:sz="0" w:space="0"/>
              <w:tr2bl w:val="none" w:color="auto" w:sz="0" w:space="0"/>
            </w:tcBorders>
            <w:shd w:val="clear" w:color="auto" w:fill="auto"/>
            <w:vAlign w:val="center"/>
          </w:tcPr>
          <w:p>
            <w:pPr>
              <w:pStyle w:val="0"/>
              <w:rPr>
                <w:rFonts w:hint="default" w:ascii="ＭＳ Ｐゴシック" w:hAnsi="ＭＳ Ｐゴシック" w:eastAsia="ＭＳ Ｐゴシック"/>
                <w:sz w:val="18"/>
              </w:rPr>
            </w:pPr>
            <w:r>
              <w:rPr>
                <w:rFonts w:hint="eastAsia" w:ascii="ＭＳ Ｐゴシック" w:hAnsi="ＭＳ Ｐゴシック" w:eastAsia="ＭＳ Ｐゴシック"/>
              </w:rPr>
              <w:t>部位のコスト配分</w:t>
            </w:r>
          </w:p>
        </w:tc>
      </w:tr>
      <w:tr>
        <w:trPr/>
        <w:tc>
          <w:tcPr>
            <w:tcW w:w="1134" w:type="dxa"/>
            <w:shd w:val="clear" w:color="auto" w:fill="D9D9D9"/>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評価</w:t>
            </w:r>
          </w:p>
        </w:tc>
        <w:tc>
          <w:tcPr>
            <w:tcW w:w="1423" w:type="dxa"/>
            <w:shd w:val="clear" w:color="auto" w:fill="D9D9D9"/>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評価点</w:t>
            </w:r>
          </w:p>
        </w:tc>
        <w:tc>
          <w:tcPr>
            <w:tcW w:w="1134"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p>
        </w:tc>
        <w:tc>
          <w:tcPr>
            <w:tcW w:w="1843" w:type="dxa"/>
            <w:shd w:val="clear" w:color="auto" w:fill="D9D9D9"/>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部　位</w:t>
            </w:r>
          </w:p>
        </w:tc>
        <w:tc>
          <w:tcPr>
            <w:tcW w:w="1417" w:type="dxa"/>
            <w:shd w:val="clear" w:color="auto" w:fill="D9D9D9"/>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コスト配分</w:t>
            </w:r>
            <w:r>
              <w:rPr>
                <w:rFonts w:hint="eastAsia" w:ascii="ＭＳ Ｐゴシック" w:hAnsi="ＭＳ Ｐゴシック" w:eastAsia="ＭＳ Ｐゴシック"/>
                <w:vertAlign w:val="superscript"/>
              </w:rPr>
              <w:t>※</w:t>
            </w:r>
          </w:p>
        </w:tc>
      </w:tr>
      <w:tr>
        <w:trPr/>
        <w:tc>
          <w:tcPr>
            <w:tcW w:w="1134"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CCECFF"/>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A</w:t>
            </w:r>
          </w:p>
        </w:tc>
        <w:tc>
          <w:tcPr>
            <w:tcW w:w="1423" w:type="dxa"/>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100</w:t>
            </w:r>
          </w:p>
        </w:tc>
        <w:tc>
          <w:tcPr>
            <w:tcW w:w="1134" w:type="dxa"/>
            <w:tcBorders>
              <w:top w:val="nil"/>
              <w:left w:val="none" w:color="auto" w:sz="0" w:space="0"/>
              <w:bottom w:val="nil"/>
              <w:right w:val="none" w:color="auto" w:sz="0" w:space="0"/>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１　屋根・屋上</w:t>
            </w:r>
          </w:p>
        </w:tc>
        <w:tc>
          <w:tcPr>
            <w:tcW w:w="1417" w:type="dxa"/>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5.1</w:t>
            </w:r>
          </w:p>
        </w:tc>
      </w:tr>
      <w:tr>
        <w:trPr/>
        <w:tc>
          <w:tcPr>
            <w:tcW w:w="1134"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CCECFF"/>
            <w:vAlign w:val="center"/>
          </w:tcPr>
          <w:p>
            <w:pPr>
              <w:pStyle w:val="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 xml:space="preserve"> </w:t>
            </w:r>
            <w:r>
              <w:rPr>
                <w:rFonts w:hint="eastAsia" w:ascii="ＭＳ Ｐゴシック" w:hAnsi="ＭＳ Ｐゴシック" w:eastAsia="ＭＳ Ｐゴシック"/>
                <w:sz w:val="18"/>
              </w:rPr>
              <w:t>A</w:t>
            </w:r>
            <w:r>
              <w:rPr>
                <w:rFonts w:hint="default" w:ascii="ＭＳ Ｐゴシック" w:hAnsi="ＭＳ Ｐゴシック" w:eastAsia="ＭＳ Ｐゴシック"/>
                <w:sz w:val="18"/>
              </w:rPr>
              <w:t>-</w:t>
            </w:r>
          </w:p>
        </w:tc>
        <w:tc>
          <w:tcPr>
            <w:tcW w:w="1423" w:type="dxa"/>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85</w:t>
            </w:r>
          </w:p>
        </w:tc>
        <w:tc>
          <w:tcPr>
            <w:tcW w:w="1134" w:type="dxa"/>
            <w:tcBorders>
              <w:top w:val="nil"/>
              <w:left w:val="none" w:color="auto" w:sz="0" w:space="0"/>
              <w:bottom w:val="nil"/>
              <w:right w:val="none" w:color="auto" w:sz="0" w:space="0"/>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２　外壁</w:t>
            </w:r>
          </w:p>
        </w:tc>
        <w:tc>
          <w:tcPr>
            <w:tcW w:w="1417" w:type="dxa"/>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17.2</w:t>
            </w:r>
          </w:p>
        </w:tc>
      </w:tr>
      <w:tr>
        <w:trPr/>
        <w:tc>
          <w:tcPr>
            <w:tcW w:w="1134"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B</w:t>
            </w:r>
          </w:p>
        </w:tc>
        <w:tc>
          <w:tcPr>
            <w:tcW w:w="1423" w:type="dxa"/>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75</w:t>
            </w:r>
          </w:p>
        </w:tc>
        <w:tc>
          <w:tcPr>
            <w:tcW w:w="1134" w:type="dxa"/>
            <w:tcBorders>
              <w:top w:val="nil"/>
              <w:left w:val="none" w:color="auto" w:sz="0" w:space="0"/>
              <w:bottom w:val="nil"/>
              <w:right w:val="none" w:color="auto" w:sz="0" w:space="0"/>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３　内部仕上げ</w:t>
            </w:r>
          </w:p>
        </w:tc>
        <w:tc>
          <w:tcPr>
            <w:tcW w:w="1417" w:type="dxa"/>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22.4</w:t>
            </w:r>
          </w:p>
        </w:tc>
      </w:tr>
      <w:tr>
        <w:trPr/>
        <w:tc>
          <w:tcPr>
            <w:tcW w:w="1134"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t xml:space="preserve"> </w:t>
            </w:r>
            <w:r>
              <w:rPr>
                <w:rFonts w:hint="eastAsia" w:ascii="ＭＳ Ｐゴシック" w:hAnsi="ＭＳ Ｐゴシック" w:eastAsia="ＭＳ Ｐゴシック"/>
                <w:sz w:val="18"/>
              </w:rPr>
              <w:t>B</w:t>
            </w:r>
            <w:r>
              <w:rPr>
                <w:rFonts w:hint="default" w:ascii="ＭＳ Ｐゴシック" w:hAnsi="ＭＳ Ｐゴシック" w:eastAsia="ＭＳ Ｐゴシック"/>
                <w:sz w:val="18"/>
              </w:rPr>
              <w:t>-</w:t>
            </w:r>
          </w:p>
        </w:tc>
        <w:tc>
          <w:tcPr>
            <w:tcW w:w="1423" w:type="dxa"/>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55</w:t>
            </w:r>
          </w:p>
        </w:tc>
        <w:tc>
          <w:tcPr>
            <w:tcW w:w="1134" w:type="dxa"/>
            <w:tcBorders>
              <w:top w:val="nil"/>
              <w:left w:val="none" w:color="auto" w:sz="0" w:space="0"/>
              <w:bottom w:val="nil"/>
              <w:right w:val="none" w:color="auto" w:sz="0" w:space="0"/>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４　電気設備</w:t>
            </w:r>
          </w:p>
        </w:tc>
        <w:tc>
          <w:tcPr>
            <w:tcW w:w="1417" w:type="dxa"/>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8.0</w:t>
            </w:r>
          </w:p>
        </w:tc>
      </w:tr>
      <w:tr>
        <w:trPr/>
        <w:tc>
          <w:tcPr>
            <w:tcW w:w="1134"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F2BC86"/>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C</w:t>
            </w:r>
          </w:p>
        </w:tc>
        <w:tc>
          <w:tcPr>
            <w:tcW w:w="1423" w:type="dxa"/>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4</w:t>
            </w:r>
            <w:r>
              <w:rPr>
                <w:rFonts w:hint="eastAsia" w:ascii="ＭＳ Ｐゴシック" w:hAnsi="ＭＳ Ｐゴシック" w:eastAsia="ＭＳ Ｐゴシック"/>
                <w:sz w:val="18"/>
              </w:rPr>
              <w:t>0</w:t>
            </w:r>
          </w:p>
        </w:tc>
        <w:tc>
          <w:tcPr>
            <w:tcW w:w="1134" w:type="dxa"/>
            <w:tcBorders>
              <w:top w:val="nil"/>
              <w:left w:val="none" w:color="auto" w:sz="0" w:space="0"/>
              <w:bottom w:val="nil"/>
              <w:right w:val="none" w:color="auto" w:sz="0" w:space="0"/>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５　機械設備</w:t>
            </w:r>
          </w:p>
        </w:tc>
        <w:tc>
          <w:tcPr>
            <w:tcW w:w="1417" w:type="dxa"/>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7.3</w:t>
            </w:r>
          </w:p>
        </w:tc>
      </w:tr>
      <w:tr>
        <w:trPr/>
        <w:tc>
          <w:tcPr>
            <w:tcW w:w="1134"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B96425"/>
            <w:vAlign w:val="center"/>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D</w:t>
            </w:r>
          </w:p>
        </w:tc>
        <w:tc>
          <w:tcPr>
            <w:tcW w:w="1423"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top"/>
          </w:tcPr>
          <w:p>
            <w:pPr>
              <w:pStyle w:val="0"/>
              <w:ind w:right="400" w:rightChars="20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r>
              <w:rPr>
                <w:rFonts w:hint="default" w:ascii="ＭＳ Ｐゴシック" w:hAnsi="ＭＳ Ｐゴシック" w:eastAsia="ＭＳ Ｐゴシック"/>
                <w:sz w:val="18"/>
              </w:rPr>
              <w:t>0</w:t>
            </w:r>
          </w:p>
        </w:tc>
        <w:tc>
          <w:tcPr>
            <w:tcW w:w="1134" w:type="dxa"/>
            <w:tcBorders>
              <w:top w:val="nil"/>
              <w:left w:val="single" w:color="auto" w:sz="4" w:space="0"/>
              <w:bottom w:val="nil"/>
              <w:right w:val="nil"/>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c>
          <w:tcPr>
            <w:tcW w:w="1843" w:type="dxa"/>
            <w:tcBorders>
              <w:top w:val="none" w:color="auto" w:sz="0" w:space="0"/>
              <w:left w:val="nil"/>
              <w:bottom w:val="nil"/>
              <w:right w:val="nil"/>
              <w:tl2br w:val="none" w:color="auto" w:sz="0" w:space="0"/>
              <w:tr2bl w:val="none" w:color="auto" w:sz="0" w:space="0"/>
            </w:tcBorders>
            <w:vAlign w:val="center"/>
          </w:tcPr>
          <w:p>
            <w:pPr>
              <w:pStyle w:val="0"/>
              <w:ind w:right="400" w:rightChars="200"/>
              <w:rPr>
                <w:rFonts w:hint="default" w:ascii="ＭＳ Ｐゴシック" w:hAnsi="ＭＳ Ｐゴシック" w:eastAsia="ＭＳ Ｐゴシック"/>
                <w:sz w:val="18"/>
              </w:rPr>
            </w:pPr>
            <w:r>
              <w:rPr>
                <w:rFonts w:hint="eastAsia" w:ascii="ＭＳ Ｐゴシック" w:hAnsi="ＭＳ Ｐゴシック" w:eastAsia="ＭＳ Ｐゴシック"/>
                <w:sz w:val="18"/>
              </w:rPr>
              <w:t>※「解説書」より</w:t>
            </w:r>
          </w:p>
        </w:tc>
        <w:tc>
          <w:tcPr>
            <w:tcW w:w="1417" w:type="dxa"/>
            <w:tcBorders>
              <w:top w:val="none" w:color="auto" w:sz="0" w:space="0"/>
              <w:left w:val="nil"/>
              <w:bottom w:val="nil"/>
              <w:right w:val="nil"/>
              <w:tl2br w:val="none" w:color="auto" w:sz="0" w:space="0"/>
              <w:tr2bl w:val="none" w:color="auto" w:sz="0" w:space="0"/>
            </w:tcBorders>
            <w:vAlign w:val="top"/>
          </w:tcPr>
          <w:p>
            <w:pPr>
              <w:pStyle w:val="0"/>
              <w:ind w:right="400" w:rightChars="200"/>
              <w:jc w:val="right"/>
              <w:rPr>
                <w:rFonts w:hint="default" w:ascii="ＭＳ Ｐゴシック" w:hAnsi="ＭＳ Ｐゴシック" w:eastAsia="ＭＳ Ｐゴシック"/>
                <w:sz w:val="18"/>
              </w:rPr>
            </w:pPr>
          </w:p>
        </w:tc>
      </w:tr>
    </w:tbl>
    <w:p>
      <w:pPr>
        <w:pStyle w:val="34"/>
        <w:ind w:left="420" w:leftChars="0"/>
        <w:rPr>
          <w:rFonts w:hint="default"/>
          <w:vanish w:val="1"/>
        </w:rPr>
      </w:pPr>
    </w:p>
    <w:p>
      <w:pPr>
        <w:pStyle w:val="34"/>
        <w:widowControl w:val="1"/>
        <w:ind w:left="420" w:leftChars="0"/>
        <w:jc w:val="left"/>
        <w:rPr>
          <w:rFonts w:hint="default" w:ascii="ＭＳ ゴシック" w:hAnsi="ＭＳ ゴシック" w:eastAsia="ＭＳ ゴシック"/>
          <w:kern w:val="0"/>
        </w:rPr>
      </w:pPr>
    </w:p>
    <w:p>
      <w:pPr>
        <w:pStyle w:val="34"/>
        <w:ind w:left="600" w:leftChars="300"/>
        <w:rPr>
          <w:rFonts w:hint="default" w:ascii="ＭＳ Ｐゴシック" w:hAnsi="ＭＳ Ｐゴシック" w:eastAsia="ＭＳ Ｐゴシック"/>
        </w:rPr>
      </w:pPr>
      <w:r>
        <w:rPr>
          <w:rFonts w:hint="eastAsia" w:ascii="ＭＳ Ｐゴシック" w:hAnsi="ＭＳ Ｐゴシック" w:eastAsia="ＭＳ Ｐゴシック"/>
        </w:rPr>
        <w:t>健全度</w:t>
      </w:r>
    </w:p>
    <w:tbl>
      <w:tblPr>
        <w:tblStyle w:val="57"/>
        <w:tblW w:w="5349" w:type="dxa"/>
        <w:tblInd w:w="600" w:type="dxa"/>
        <w:tblLayout w:type="fixed"/>
        <w:tblLook w:firstRow="1" w:lastRow="0" w:firstColumn="1" w:lastColumn="0" w:noHBand="0" w:noVBand="1" w:val="04A0"/>
      </w:tblPr>
      <w:tblGrid>
        <w:gridCol w:w="5349"/>
      </w:tblGrid>
      <w:tr>
        <w:trPr>
          <w:trHeight w:val="495" w:hRule="atLeast"/>
        </w:trPr>
        <w:tc>
          <w:tcPr>
            <w:tcW w:w="5349" w:type="dxa"/>
            <w:vAlign w:val="center"/>
          </w:tcPr>
          <w:p>
            <w:pPr>
              <w:pStyle w:val="34"/>
              <w:ind w:left="0" w:left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健全度　＝　総和（部位の評価点×部位のコスト配分）÷</w:t>
            </w:r>
            <w:r>
              <w:rPr>
                <w:rFonts w:hint="default" w:ascii="ＭＳ Ｐゴシック" w:hAnsi="ＭＳ Ｐゴシック" w:eastAsia="ＭＳ Ｐゴシック"/>
                <w:sz w:val="18"/>
              </w:rPr>
              <w:t>60</w:t>
            </w:r>
          </w:p>
        </w:tc>
      </w:tr>
    </w:tbl>
    <w:p>
      <w:pPr>
        <w:pStyle w:val="34"/>
        <w:widowControl w:val="1"/>
        <w:snapToGrid w:val="0"/>
        <w:ind w:left="600" w:leftChars="300"/>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r>
        <w:rPr>
          <w:rFonts w:hint="eastAsia" w:ascii="ＭＳ Ｐゴシック" w:hAnsi="ＭＳ Ｐゴシック" w:eastAsia="ＭＳ Ｐゴシック"/>
          <w:kern w:val="0"/>
          <w:sz w:val="18"/>
        </w:rPr>
        <w:t>100</w:t>
      </w:r>
      <w:r>
        <w:rPr>
          <w:rFonts w:hint="eastAsia" w:ascii="ＭＳ Ｐゴシック" w:hAnsi="ＭＳ Ｐゴシック" w:eastAsia="ＭＳ Ｐゴシック"/>
          <w:kern w:val="0"/>
          <w:sz w:val="18"/>
        </w:rPr>
        <w:t>点満点にするためにコスト配分の合計値で割っている。</w:t>
      </w:r>
    </w:p>
    <w:p>
      <w:pPr>
        <w:pStyle w:val="34"/>
        <w:widowControl w:val="1"/>
        <w:snapToGrid w:val="0"/>
        <w:ind w:left="600" w:leftChars="300"/>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※健全度は、数値が小さいほど劣化が進んでいることを示す。</w:t>
      </w:r>
    </w:p>
    <w:p>
      <w:pPr>
        <w:pStyle w:val="34"/>
        <w:widowControl w:val="1"/>
        <w:ind w:left="420" w:leftChars="0"/>
        <w:jc w:val="left"/>
        <w:rPr>
          <w:rFonts w:hint="default" w:ascii="ＭＳ ゴシック" w:hAnsi="ＭＳ ゴシック" w:eastAsia="ＭＳ ゴシック"/>
          <w:kern w:val="0"/>
        </w:rPr>
      </w:pPr>
    </w:p>
    <w:p>
      <w:pPr>
        <w:pStyle w:val="34"/>
        <w:widowControl w:val="1"/>
        <w:ind w:left="420" w:leftChars="0"/>
        <w:jc w:val="left"/>
        <w:rPr>
          <w:rFonts w:hint="default" w:ascii="ＭＳ ゴシック" w:hAnsi="ＭＳ ゴシック" w:eastAsia="ＭＳ ゴシック"/>
          <w:kern w:val="0"/>
        </w:rPr>
      </w:pPr>
    </w:p>
    <w:p>
      <w:pPr>
        <w:pStyle w:val="34"/>
        <w:ind w:left="600" w:leftChars="300"/>
        <w:rPr>
          <w:rFonts w:hint="default" w:ascii="ＭＳ ゴシック" w:hAnsi="ＭＳ ゴシック" w:eastAsia="ＭＳ ゴシック"/>
          <w:kern w:val="0"/>
        </w:rPr>
      </w:pPr>
      <w:r>
        <w:rPr>
          <w:rFonts w:hint="eastAsia" w:ascii="ＭＳ ゴシック" w:hAnsi="ＭＳ ゴシック" w:eastAsia="ＭＳ ゴシック"/>
          <w:kern w:val="0"/>
        </w:rPr>
        <w:t>【健全度</w:t>
      </w:r>
      <w:r>
        <w:rPr>
          <w:rFonts w:hint="eastAsia" w:ascii="ＭＳ Ｐゴシック" w:hAnsi="ＭＳ Ｐゴシック" w:eastAsia="ＭＳ Ｐゴシック"/>
        </w:rPr>
        <w:t>計算例</w:t>
      </w:r>
      <w:r>
        <w:rPr>
          <w:rFonts w:hint="eastAsia" w:ascii="ＭＳ ゴシック" w:hAnsi="ＭＳ ゴシック" w:eastAsia="ＭＳ ゴシック"/>
          <w:kern w:val="0"/>
        </w:rPr>
        <w:t>】（貝掛中学校</w:t>
      </w:r>
      <w:r>
        <w:rPr>
          <w:rFonts w:hint="eastAsia" w:ascii="ＭＳ ゴシック" w:hAnsi="ＭＳ ゴシック" w:eastAsia="ＭＳ ゴシック"/>
          <w:kern w:val="0"/>
        </w:rPr>
        <w:t xml:space="preserve"> </w:t>
      </w:r>
      <w:r>
        <w:rPr>
          <w:rFonts w:hint="eastAsia" w:ascii="ＭＳ ゴシック" w:hAnsi="ＭＳ ゴシック" w:eastAsia="ＭＳ ゴシック"/>
          <w:kern w:val="0"/>
        </w:rPr>
        <w:t>教室棟（</w:t>
      </w:r>
      <w:r>
        <w:rPr>
          <w:rFonts w:hint="eastAsia" w:ascii="ＭＳ ゴシック" w:hAnsi="ＭＳ ゴシック" w:eastAsia="ＭＳ ゴシック"/>
          <w:kern w:val="0"/>
        </w:rPr>
        <w:t>7</w:t>
      </w:r>
      <w:r>
        <w:rPr>
          <w:rFonts w:hint="default" w:ascii="ＭＳ ゴシック" w:hAnsi="ＭＳ ゴシック" w:eastAsia="ＭＳ ゴシック"/>
          <w:kern w:val="0"/>
        </w:rPr>
        <w:t>-1</w:t>
      </w:r>
      <w:r>
        <w:rPr>
          <w:rFonts w:hint="eastAsia" w:ascii="ＭＳ ゴシック" w:hAnsi="ＭＳ ゴシック" w:eastAsia="ＭＳ ゴシック"/>
          <w:kern w:val="0"/>
        </w:rPr>
        <w:t>･</w:t>
      </w:r>
      <w:r>
        <w:rPr>
          <w:rFonts w:hint="eastAsia" w:ascii="ＭＳ ゴシック" w:hAnsi="ＭＳ ゴシック" w:eastAsia="ＭＳ ゴシック"/>
          <w:kern w:val="0"/>
        </w:rPr>
        <w:t>3</w:t>
      </w:r>
      <w:r>
        <w:rPr>
          <w:rFonts w:hint="eastAsia" w:ascii="ＭＳ ゴシック" w:hAnsi="ＭＳ ゴシック" w:eastAsia="ＭＳ ゴシック"/>
          <w:kern w:val="0"/>
        </w:rPr>
        <w:t>･</w:t>
      </w:r>
      <w:r>
        <w:rPr>
          <w:rFonts w:hint="eastAsia" w:ascii="ＭＳ ゴシック" w:hAnsi="ＭＳ ゴシック" w:eastAsia="ＭＳ ゴシック"/>
          <w:kern w:val="0"/>
        </w:rPr>
        <w:t>4</w:t>
      </w:r>
      <w:r>
        <w:rPr>
          <w:rFonts w:hint="eastAsia" w:ascii="ＭＳ ゴシック" w:hAnsi="ＭＳ ゴシック" w:eastAsia="ＭＳ ゴシック"/>
          <w:kern w:val="0"/>
        </w:rPr>
        <w:t>）の場合）</w:t>
      </w:r>
    </w:p>
    <w:tbl>
      <w:tblPr>
        <w:tblStyle w:val="11"/>
        <w:tblW w:w="8080" w:type="dxa"/>
        <w:tblInd w:w="5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647"/>
        <w:gridCol w:w="16"/>
        <w:gridCol w:w="1116"/>
        <w:gridCol w:w="700"/>
        <w:gridCol w:w="1121"/>
        <w:gridCol w:w="700"/>
        <w:gridCol w:w="1122"/>
        <w:gridCol w:w="666"/>
        <w:gridCol w:w="35"/>
        <w:gridCol w:w="957"/>
      </w:tblGrid>
      <w:tr>
        <w:trPr/>
        <w:tc>
          <w:tcPr>
            <w:tcW w:w="1663" w:type="dxa"/>
            <w:gridSpan w:val="2"/>
            <w:shd w:val="clear" w:color="auto" w:fill="D9D9D9"/>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部　位</w:t>
            </w:r>
          </w:p>
        </w:tc>
        <w:tc>
          <w:tcPr>
            <w:tcW w:w="1116"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D9D9D9"/>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評　価</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p>
        </w:tc>
        <w:tc>
          <w:tcPr>
            <w:tcW w:w="1121" w:type="dxa"/>
            <w:shd w:val="clear" w:color="auto" w:fill="D9D9D9"/>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評価点</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p>
        </w:tc>
        <w:tc>
          <w:tcPr>
            <w:tcW w:w="1122" w:type="dxa"/>
            <w:shd w:val="clear" w:color="auto" w:fill="D9D9D9"/>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コスト配分</w:t>
            </w:r>
          </w:p>
        </w:tc>
        <w:tc>
          <w:tcPr>
            <w:tcW w:w="701" w:type="dxa"/>
            <w:gridSpan w:val="2"/>
            <w:tcBorders>
              <w:top w:val="nil"/>
              <w:left w:val="none" w:color="auto" w:sz="0" w:space="0"/>
              <w:bottom w:val="nil"/>
              <w:right w:val="nil"/>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p>
        </w:tc>
        <w:tc>
          <w:tcPr>
            <w:tcW w:w="957" w:type="dxa"/>
            <w:tcBorders>
              <w:top w:val="nil"/>
              <w:left w:val="nil"/>
              <w:bottom w:val="nil"/>
              <w:right w:val="nil"/>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p>
        </w:tc>
      </w:tr>
      <w:tr>
        <w:trPr/>
        <w:tc>
          <w:tcPr>
            <w:tcW w:w="1663" w:type="dxa"/>
            <w:gridSpan w:val="2"/>
            <w:shd w:val="clear" w:color="auto" w:fill="auto"/>
            <w:vAlign w:val="top"/>
          </w:tcPr>
          <w:p>
            <w:pPr>
              <w:pStyle w:val="0"/>
              <w:widowControl w:val="1"/>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１　屋根・屋上</w:t>
            </w:r>
          </w:p>
        </w:tc>
        <w:tc>
          <w:tcPr>
            <w:tcW w:w="1116"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F2BC86"/>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sz w:val="18"/>
              </w:rPr>
              <w:t>A</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1121" w:type="dxa"/>
            <w:shd w:val="clear" w:color="auto" w:fill="auto"/>
            <w:vAlign w:val="top"/>
          </w:tcPr>
          <w:p>
            <w:pPr>
              <w:pStyle w:val="0"/>
              <w:widowControl w:val="1"/>
              <w:ind w:right="300" w:rightChars="150"/>
              <w:jc w:val="right"/>
              <w:rPr>
                <w:rFonts w:hint="default" w:ascii="ＭＳ Ｐゴシック" w:hAnsi="ＭＳ Ｐゴシック" w:eastAsia="ＭＳ Ｐゴシック"/>
                <w:kern w:val="0"/>
                <w:sz w:val="18"/>
              </w:rPr>
            </w:pPr>
            <w:r>
              <w:rPr>
                <w:rFonts w:hint="default" w:ascii="ＭＳ Ｐゴシック" w:hAnsi="ＭＳ Ｐゴシック" w:eastAsia="ＭＳ Ｐゴシック"/>
                <w:kern w:val="0"/>
                <w:sz w:val="18"/>
              </w:rPr>
              <w:t>100</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1122" w:type="dxa"/>
            <w:tcBorders>
              <w:top w:val="none" w:color="auto" w:sz="0" w:space="0"/>
              <w:left w:val="none" w:color="auto" w:sz="0" w:space="0"/>
              <w:bottom w:val="nil"/>
              <w:right w:val="none" w:color="auto" w:sz="0" w:space="0"/>
              <w:tl2br w:val="none" w:color="auto" w:sz="0" w:space="0"/>
              <w:tr2bl w:val="none" w:color="auto" w:sz="0" w:space="0"/>
            </w:tcBorders>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5.1</w:t>
            </w:r>
          </w:p>
        </w:tc>
        <w:tc>
          <w:tcPr>
            <w:tcW w:w="701" w:type="dxa"/>
            <w:gridSpan w:val="2"/>
            <w:tcBorders>
              <w:top w:val="nil"/>
              <w:left w:val="none" w:color="auto" w:sz="0" w:space="0"/>
              <w:bottom w:val="nil"/>
              <w:right w:val="nil"/>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957" w:type="dxa"/>
            <w:tcBorders>
              <w:top w:val="nil"/>
              <w:left w:val="nil"/>
              <w:bottom w:val="nil"/>
              <w:right w:val="nil"/>
              <w:tl2br w:val="none" w:color="auto" w:sz="0" w:space="0"/>
              <w:tr2bl w:val="none" w:color="auto" w:sz="0" w:space="0"/>
            </w:tcBorders>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default" w:ascii="ＭＳ Ｐゴシック" w:hAnsi="ＭＳ Ｐゴシック" w:eastAsia="ＭＳ Ｐゴシック"/>
                <w:kern w:val="0"/>
                <w:sz w:val="18"/>
              </w:rPr>
              <w:t>510</w:t>
            </w:r>
          </w:p>
        </w:tc>
      </w:tr>
      <w:tr>
        <w:trPr/>
        <w:tc>
          <w:tcPr>
            <w:tcW w:w="1663" w:type="dxa"/>
            <w:gridSpan w:val="2"/>
            <w:shd w:val="clear" w:color="auto" w:fill="auto"/>
            <w:vAlign w:val="top"/>
          </w:tcPr>
          <w:p>
            <w:pPr>
              <w:pStyle w:val="0"/>
              <w:widowControl w:val="1"/>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２　外壁</w:t>
            </w:r>
          </w:p>
        </w:tc>
        <w:tc>
          <w:tcPr>
            <w:tcW w:w="1116"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F2BC86"/>
            <w:vAlign w:val="top"/>
          </w:tcPr>
          <w:p>
            <w:pPr>
              <w:pStyle w:val="0"/>
              <w:widowControl w:val="1"/>
              <w:jc w:val="center"/>
              <w:rPr>
                <w:rFonts w:hint="default" w:ascii="ＭＳ Ｐゴシック" w:hAnsi="ＭＳ Ｐゴシック" w:eastAsia="ＭＳ Ｐゴシック"/>
                <w:kern w:val="0"/>
                <w:sz w:val="18"/>
              </w:rPr>
            </w:pPr>
            <w:r>
              <w:rPr>
                <w:rFonts w:hint="default" w:ascii="ＭＳ Ｐゴシック" w:hAnsi="ＭＳ Ｐゴシック" w:eastAsia="ＭＳ Ｐゴシック"/>
                <w:sz w:val="18"/>
              </w:rPr>
              <w:t xml:space="preserve"> </w:t>
            </w:r>
            <w:r>
              <w:rPr>
                <w:rFonts w:hint="eastAsia" w:ascii="ＭＳ Ｐゴシック" w:hAnsi="ＭＳ Ｐゴシック" w:eastAsia="ＭＳ Ｐゴシック"/>
                <w:sz w:val="18"/>
              </w:rPr>
              <w:t>A</w:t>
            </w:r>
            <w:r>
              <w:rPr>
                <w:rFonts w:hint="default" w:ascii="ＭＳ Ｐゴシック" w:hAnsi="ＭＳ Ｐゴシック" w:eastAsia="ＭＳ Ｐゴシック"/>
                <w:sz w:val="18"/>
              </w:rPr>
              <w:t>-</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kern w:val="0"/>
                <w:sz w:val="18"/>
              </w:rPr>
              <w:t>⇒</w:t>
            </w:r>
          </w:p>
        </w:tc>
        <w:tc>
          <w:tcPr>
            <w:tcW w:w="1121" w:type="dxa"/>
            <w:shd w:val="clear" w:color="auto" w:fill="auto"/>
            <w:vAlign w:val="top"/>
          </w:tcPr>
          <w:p>
            <w:pPr>
              <w:pStyle w:val="0"/>
              <w:widowControl w:val="1"/>
              <w:ind w:right="300" w:rightChars="15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8</w:t>
            </w:r>
            <w:r>
              <w:rPr>
                <w:rFonts w:hint="default" w:ascii="ＭＳ Ｐゴシック" w:hAnsi="ＭＳ Ｐゴシック" w:eastAsia="ＭＳ Ｐゴシック"/>
                <w:kern w:val="0"/>
                <w:sz w:val="18"/>
              </w:rPr>
              <w:t>5</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kern w:val="0"/>
                <w:sz w:val="18"/>
              </w:rPr>
              <w:t>×</w:t>
            </w:r>
          </w:p>
        </w:tc>
        <w:tc>
          <w:tcPr>
            <w:tcW w:w="1122" w:type="dxa"/>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17.2</w:t>
            </w:r>
          </w:p>
        </w:tc>
        <w:tc>
          <w:tcPr>
            <w:tcW w:w="701" w:type="dxa"/>
            <w:gridSpan w:val="2"/>
            <w:tcBorders>
              <w:top w:val="nil"/>
              <w:left w:val="none" w:color="auto" w:sz="0" w:space="0"/>
              <w:bottom w:val="nil"/>
              <w:right w:val="nil"/>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957" w:type="dxa"/>
            <w:tcBorders>
              <w:top w:val="nil"/>
              <w:left w:val="nil"/>
              <w:bottom w:val="nil"/>
              <w:right w:val="nil"/>
              <w:tl2br w:val="none" w:color="auto" w:sz="0" w:space="0"/>
              <w:tr2bl w:val="none" w:color="auto" w:sz="0" w:space="0"/>
            </w:tcBorders>
            <w:shd w:val="clear" w:color="auto" w:fill="auto"/>
            <w:vAlign w:val="top"/>
          </w:tcPr>
          <w:p>
            <w:pPr>
              <w:pStyle w:val="0"/>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1,</w:t>
            </w:r>
            <w:r>
              <w:rPr>
                <w:rFonts w:hint="default" w:ascii="ＭＳ Ｐゴシック" w:hAnsi="ＭＳ Ｐゴシック" w:eastAsia="ＭＳ Ｐゴシック"/>
                <w:kern w:val="0"/>
                <w:sz w:val="18"/>
              </w:rPr>
              <w:t>462</w:t>
            </w:r>
          </w:p>
        </w:tc>
      </w:tr>
      <w:tr>
        <w:trPr/>
        <w:tc>
          <w:tcPr>
            <w:tcW w:w="1663" w:type="dxa"/>
            <w:gridSpan w:val="2"/>
            <w:shd w:val="clear" w:color="auto" w:fill="auto"/>
            <w:vAlign w:val="top"/>
          </w:tcPr>
          <w:p>
            <w:pPr>
              <w:pStyle w:val="0"/>
              <w:widowControl w:val="1"/>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３　内部仕上</w:t>
            </w:r>
          </w:p>
        </w:tc>
        <w:tc>
          <w:tcPr>
            <w:tcW w:w="1116"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F2BC86"/>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sz w:val="18"/>
              </w:rPr>
              <w:t>C</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kern w:val="0"/>
                <w:sz w:val="18"/>
              </w:rPr>
              <w:t>⇒</w:t>
            </w:r>
          </w:p>
        </w:tc>
        <w:tc>
          <w:tcPr>
            <w:tcW w:w="1121" w:type="dxa"/>
            <w:shd w:val="clear" w:color="auto" w:fill="auto"/>
            <w:vAlign w:val="top"/>
          </w:tcPr>
          <w:p>
            <w:pPr>
              <w:pStyle w:val="0"/>
              <w:widowControl w:val="1"/>
              <w:ind w:right="300" w:rightChars="15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40</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p>
        </w:tc>
        <w:tc>
          <w:tcPr>
            <w:tcW w:w="1122" w:type="dxa"/>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22.4</w:t>
            </w:r>
          </w:p>
        </w:tc>
        <w:tc>
          <w:tcPr>
            <w:tcW w:w="701" w:type="dxa"/>
            <w:gridSpan w:val="2"/>
            <w:tcBorders>
              <w:top w:val="nil"/>
              <w:left w:val="none" w:color="auto" w:sz="0" w:space="0"/>
              <w:bottom w:val="nil"/>
              <w:right w:val="nil"/>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957" w:type="dxa"/>
            <w:tcBorders>
              <w:top w:val="nil"/>
              <w:left w:val="nil"/>
              <w:bottom w:val="nil"/>
              <w:right w:val="nil"/>
              <w:tl2br w:val="none" w:color="auto" w:sz="0" w:space="0"/>
              <w:tr2bl w:val="none" w:color="auto" w:sz="0" w:space="0"/>
            </w:tcBorders>
            <w:shd w:val="clear" w:color="auto" w:fill="auto"/>
            <w:vAlign w:val="top"/>
          </w:tcPr>
          <w:p>
            <w:pPr>
              <w:pStyle w:val="0"/>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8</w:t>
            </w:r>
            <w:r>
              <w:rPr>
                <w:rFonts w:hint="default" w:ascii="ＭＳ Ｐゴシック" w:hAnsi="ＭＳ Ｐゴシック" w:eastAsia="ＭＳ Ｐゴシック"/>
                <w:kern w:val="0"/>
                <w:sz w:val="18"/>
              </w:rPr>
              <w:t>96</w:t>
            </w:r>
          </w:p>
        </w:tc>
      </w:tr>
      <w:tr>
        <w:trPr/>
        <w:tc>
          <w:tcPr>
            <w:tcW w:w="1663" w:type="dxa"/>
            <w:gridSpan w:val="2"/>
            <w:shd w:val="clear" w:color="auto" w:fill="auto"/>
            <w:vAlign w:val="top"/>
          </w:tcPr>
          <w:p>
            <w:pPr>
              <w:pStyle w:val="0"/>
              <w:widowControl w:val="1"/>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４　電気設備</w:t>
            </w:r>
          </w:p>
        </w:tc>
        <w:tc>
          <w:tcPr>
            <w:tcW w:w="1116"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sz w:val="18"/>
              </w:rPr>
              <w:t>C</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kern w:val="0"/>
                <w:sz w:val="18"/>
              </w:rPr>
              <w:t>⇒</w:t>
            </w:r>
          </w:p>
        </w:tc>
        <w:tc>
          <w:tcPr>
            <w:tcW w:w="1121" w:type="dxa"/>
            <w:shd w:val="clear" w:color="auto" w:fill="auto"/>
            <w:vAlign w:val="top"/>
          </w:tcPr>
          <w:p>
            <w:pPr>
              <w:pStyle w:val="0"/>
              <w:widowControl w:val="1"/>
              <w:ind w:right="300" w:rightChars="15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4</w:t>
            </w:r>
            <w:r>
              <w:rPr>
                <w:rFonts w:hint="default" w:ascii="ＭＳ Ｐゴシック" w:hAnsi="ＭＳ Ｐゴシック" w:eastAsia="ＭＳ Ｐゴシック"/>
                <w:kern w:val="0"/>
                <w:sz w:val="18"/>
              </w:rPr>
              <w:t>0</w:t>
            </w:r>
          </w:p>
        </w:tc>
        <w:tc>
          <w:tcPr>
            <w:tcW w:w="700" w:type="dxa"/>
            <w:tcBorders>
              <w:top w:val="nil"/>
              <w:left w:val="none" w:color="auto" w:sz="0" w:space="0"/>
              <w:bottom w:val="nil"/>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p>
        </w:tc>
        <w:tc>
          <w:tcPr>
            <w:tcW w:w="1122" w:type="dxa"/>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8.0</w:t>
            </w:r>
          </w:p>
        </w:tc>
        <w:tc>
          <w:tcPr>
            <w:tcW w:w="701" w:type="dxa"/>
            <w:gridSpan w:val="2"/>
            <w:tcBorders>
              <w:top w:val="nil"/>
              <w:left w:val="none" w:color="auto" w:sz="0" w:space="0"/>
              <w:bottom w:val="nil"/>
              <w:right w:val="nil"/>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957" w:type="dxa"/>
            <w:tcBorders>
              <w:top w:val="nil"/>
              <w:left w:val="nil"/>
              <w:bottom w:val="nil"/>
              <w:right w:val="nil"/>
              <w:tl2br w:val="none" w:color="auto" w:sz="0" w:space="0"/>
              <w:tr2bl w:val="none" w:color="auto" w:sz="0" w:space="0"/>
            </w:tcBorders>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3</w:t>
            </w:r>
            <w:r>
              <w:rPr>
                <w:rFonts w:hint="default" w:ascii="ＭＳ Ｐゴシック" w:hAnsi="ＭＳ Ｐゴシック" w:eastAsia="ＭＳ Ｐゴシック"/>
                <w:kern w:val="0"/>
                <w:sz w:val="18"/>
              </w:rPr>
              <w:t>20</w:t>
            </w:r>
          </w:p>
        </w:tc>
      </w:tr>
      <w:tr>
        <w:trPr/>
        <w:tc>
          <w:tcPr>
            <w:tcW w:w="1663" w:type="dxa"/>
            <w:gridSpan w:val="2"/>
            <w:shd w:val="clear" w:color="auto" w:fill="auto"/>
            <w:vAlign w:val="top"/>
          </w:tcPr>
          <w:p>
            <w:pPr>
              <w:pStyle w:val="0"/>
              <w:widowControl w:val="1"/>
              <w:jc w:val="lef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５　機械設備</w:t>
            </w:r>
          </w:p>
        </w:tc>
        <w:tc>
          <w:tcPr>
            <w:tcW w:w="1116" w:type="dxa"/>
            <w:shd w:val="clear" w:color="auto" w:fill="auto"/>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C</w:t>
            </w:r>
          </w:p>
        </w:tc>
        <w:tc>
          <w:tcPr>
            <w:tcW w:w="700" w:type="dxa"/>
            <w:tcBorders>
              <w:top w:val="nil"/>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r>
              <w:rPr>
                <w:rFonts w:hint="eastAsia" w:ascii="ＭＳ Ｐゴシック" w:hAnsi="ＭＳ Ｐゴシック" w:eastAsia="ＭＳ Ｐゴシック"/>
                <w:kern w:val="0"/>
                <w:sz w:val="18"/>
              </w:rPr>
              <w:t>⇒</w:t>
            </w:r>
          </w:p>
        </w:tc>
        <w:tc>
          <w:tcPr>
            <w:tcW w:w="1121" w:type="dxa"/>
            <w:shd w:val="clear" w:color="auto" w:fill="auto"/>
            <w:vAlign w:val="top"/>
          </w:tcPr>
          <w:p>
            <w:pPr>
              <w:pStyle w:val="0"/>
              <w:widowControl w:val="1"/>
              <w:ind w:right="300" w:rightChars="15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4</w:t>
            </w:r>
            <w:r>
              <w:rPr>
                <w:rFonts w:hint="default" w:ascii="ＭＳ Ｐゴシック" w:hAnsi="ＭＳ Ｐゴシック" w:eastAsia="ＭＳ Ｐゴシック"/>
                <w:kern w:val="0"/>
                <w:sz w:val="18"/>
              </w:rPr>
              <w:t>0</w:t>
            </w:r>
          </w:p>
        </w:tc>
        <w:tc>
          <w:tcPr>
            <w:tcW w:w="700" w:type="dxa"/>
            <w:tcBorders>
              <w:top w:val="nil"/>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sz w:val="18"/>
              </w:rPr>
            </w:pPr>
          </w:p>
        </w:tc>
        <w:tc>
          <w:tcPr>
            <w:tcW w:w="1122" w:type="dxa"/>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7.3</w:t>
            </w:r>
          </w:p>
        </w:tc>
        <w:tc>
          <w:tcPr>
            <w:tcW w:w="701" w:type="dxa"/>
            <w:gridSpan w:val="2"/>
            <w:tcBorders>
              <w:top w:val="nil"/>
              <w:left w:val="none" w:color="auto" w:sz="0" w:space="0"/>
              <w:bottom w:val="none" w:color="auto" w:sz="0" w:space="0"/>
              <w:right w:val="nil"/>
              <w:tl2br w:val="none" w:color="auto" w:sz="0" w:space="0"/>
              <w:tr2bl w:val="none" w:color="auto" w:sz="0" w:space="0"/>
            </w:tcBorders>
            <w:shd w:val="clear" w:color="auto" w:fill="auto"/>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p>
        </w:tc>
        <w:tc>
          <w:tcPr>
            <w:tcW w:w="957" w:type="dxa"/>
            <w:tcBorders>
              <w:top w:val="nil"/>
              <w:left w:val="nil"/>
              <w:bottom w:val="none" w:color="auto" w:sz="0" w:space="0"/>
              <w:right w:val="nil"/>
              <w:tl2br w:val="none" w:color="auto" w:sz="0" w:space="0"/>
              <w:tr2bl w:val="none" w:color="auto" w:sz="0" w:space="0"/>
            </w:tcBorders>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2</w:t>
            </w:r>
            <w:r>
              <w:rPr>
                <w:rFonts w:hint="default" w:ascii="ＭＳ Ｐゴシック" w:hAnsi="ＭＳ Ｐゴシック" w:eastAsia="ＭＳ Ｐゴシック"/>
                <w:kern w:val="0"/>
                <w:sz w:val="18"/>
              </w:rPr>
              <w:t>92</w:t>
            </w:r>
          </w:p>
        </w:tc>
      </w:tr>
      <w:tr>
        <w:trPr>
          <w:trHeight w:val="310" w:hRule="atLeast"/>
        </w:trPr>
        <w:tc>
          <w:tcPr>
            <w:tcW w:w="1647" w:type="dxa"/>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32"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21" w:type="dxa"/>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22" w:type="dxa"/>
            <w:tcBorders>
              <w:top w:val="none" w:color="auto" w:sz="0" w:space="0"/>
              <w:left w:val="nil"/>
              <w:bottom w:val="nil"/>
              <w:right w:val="nil"/>
              <w:tl2br w:val="none" w:color="auto" w:sz="0" w:space="0"/>
              <w:tr2bl w:val="none" w:color="auto" w:sz="0" w:space="0"/>
            </w:tcBorders>
            <w:shd w:val="clear" w:color="auto" w:fill="auto"/>
            <w:vAlign w:val="top"/>
          </w:tcPr>
          <w:p>
            <w:pPr>
              <w:pStyle w:val="0"/>
              <w:widowControl w:val="1"/>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合計</w:t>
            </w:r>
          </w:p>
        </w:tc>
        <w:tc>
          <w:tcPr>
            <w:tcW w:w="701" w:type="dxa"/>
            <w:gridSpan w:val="2"/>
            <w:tcBorders>
              <w:top w:val="none" w:color="auto" w:sz="0" w:space="0"/>
              <w:left w:val="nil"/>
              <w:bottom w:val="nil"/>
              <w:right w:val="nil"/>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p>
        </w:tc>
        <w:tc>
          <w:tcPr>
            <w:tcW w:w="957" w:type="dxa"/>
            <w:tcBorders>
              <w:top w:val="none" w:color="auto" w:sz="0" w:space="0"/>
              <w:left w:val="nil"/>
              <w:bottom w:val="nil"/>
              <w:right w:val="nil"/>
              <w:tl2br w:val="none" w:color="auto" w:sz="0" w:space="0"/>
              <w:tr2bl w:val="none" w:color="auto" w:sz="0" w:space="0"/>
            </w:tcBorders>
            <w:shd w:val="clear" w:color="auto" w:fill="auto"/>
            <w:vAlign w:val="top"/>
          </w:tcPr>
          <w:p>
            <w:pPr>
              <w:pStyle w:val="0"/>
              <w:ind w:right="200" w:rightChars="100"/>
              <w:jc w:val="right"/>
              <w:rPr>
                <w:rFonts w:hint="default" w:ascii="ＭＳ Ｐゴシック" w:hAnsi="ＭＳ Ｐゴシック" w:eastAsia="ＭＳ Ｐゴシック"/>
                <w:kern w:val="0"/>
                <w:sz w:val="18"/>
              </w:rPr>
            </w:pPr>
            <w:r>
              <w:rPr>
                <w:rFonts w:hint="default" w:ascii="ＭＳ Ｐゴシック" w:hAnsi="ＭＳ Ｐゴシック" w:eastAsia="ＭＳ Ｐゴシック"/>
                <w:kern w:val="0"/>
                <w:sz w:val="18"/>
              </w:rPr>
              <w:t>3,480</w:t>
            </w:r>
          </w:p>
        </w:tc>
      </w:tr>
      <w:tr>
        <w:trPr>
          <w:trHeight w:val="420" w:hRule="atLeast"/>
        </w:trPr>
        <w:tc>
          <w:tcPr>
            <w:tcW w:w="1647"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32" w:type="dxa"/>
            <w:gridSpan w:val="2"/>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21"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22" w:type="dxa"/>
            <w:tcBorders>
              <w:top w:val="nil"/>
              <w:left w:val="nil"/>
              <w:bottom w:val="none" w:color="auto" w:sz="0" w:space="0"/>
              <w:right w:val="nil"/>
              <w:tl2br w:val="none" w:color="auto" w:sz="0" w:space="0"/>
              <w:tr2bl w:val="none" w:color="auto" w:sz="0" w:space="0"/>
            </w:tcBorders>
            <w:shd w:val="clear" w:color="auto" w:fill="auto"/>
            <w:vAlign w:val="top"/>
          </w:tcPr>
          <w:p>
            <w:pPr>
              <w:pStyle w:val="0"/>
              <w:jc w:val="right"/>
              <w:rPr>
                <w:rFonts w:hint="default" w:ascii="ＭＳ Ｐゴシック" w:hAnsi="ＭＳ Ｐゴシック" w:eastAsia="ＭＳ Ｐゴシック"/>
                <w:kern w:val="0"/>
                <w:sz w:val="18"/>
              </w:rPr>
            </w:pPr>
          </w:p>
        </w:tc>
        <w:tc>
          <w:tcPr>
            <w:tcW w:w="701" w:type="dxa"/>
            <w:gridSpan w:val="2"/>
            <w:tcBorders>
              <w:top w:val="nil"/>
              <w:left w:val="nil"/>
              <w:bottom w:val="none" w:color="auto" w:sz="0" w:space="0"/>
              <w:right w:val="nil"/>
              <w:tl2br w:val="none" w:color="auto" w:sz="0" w:space="0"/>
              <w:tr2bl w:val="none" w:color="auto" w:sz="0" w:space="0"/>
            </w:tcBorders>
            <w:shd w:val="clear" w:color="auto" w:fill="auto"/>
            <w:vAlign w:val="top"/>
          </w:tcPr>
          <w:p>
            <w:pPr>
              <w:pStyle w:val="0"/>
              <w:jc w:val="center"/>
              <w:rPr>
                <w:rFonts w:hint="default" w:ascii="ＭＳ Ｐゴシック" w:hAnsi="ＭＳ Ｐゴシック" w:eastAsia="ＭＳ Ｐゴシック"/>
                <w:kern w:val="0"/>
                <w:sz w:val="18"/>
              </w:rPr>
            </w:pPr>
          </w:p>
        </w:tc>
        <w:tc>
          <w:tcPr>
            <w:tcW w:w="957" w:type="dxa"/>
            <w:tcBorders>
              <w:top w:val="nil"/>
              <w:left w:val="nil"/>
              <w:bottom w:val="none" w:color="auto" w:sz="0" w:space="0"/>
              <w:right w:val="nil"/>
              <w:tl2br w:val="none" w:color="auto" w:sz="0" w:space="0"/>
              <w:tr2bl w:val="none" w:color="auto" w:sz="0" w:space="0"/>
            </w:tcBorders>
            <w:shd w:val="clear" w:color="auto" w:fill="auto"/>
            <w:vAlign w:val="top"/>
          </w:tcPr>
          <w:p>
            <w:pPr>
              <w:pStyle w:val="0"/>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w:t>
            </w:r>
            <w:r>
              <w:rPr>
                <w:rFonts w:hint="eastAsia" w:ascii="ＭＳ Ｐゴシック" w:hAnsi="ＭＳ Ｐゴシック" w:eastAsia="ＭＳ Ｐゴシック"/>
                <w:kern w:val="0"/>
                <w:sz w:val="18"/>
              </w:rPr>
              <w:t>60</w:t>
            </w:r>
          </w:p>
        </w:tc>
      </w:tr>
      <w:tr>
        <w:trPr/>
        <w:tc>
          <w:tcPr>
            <w:tcW w:w="1647"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32" w:type="dxa"/>
            <w:gridSpan w:val="2"/>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121" w:type="dxa"/>
            <w:tcBorders>
              <w:top w:val="nil"/>
              <w:left w:val="nil"/>
              <w:bottom w:val="nil"/>
              <w:right w:val="nil"/>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700" w:type="dxa"/>
            <w:tcBorders>
              <w:top w:val="nil"/>
              <w:left w:val="nil"/>
              <w:bottom w:val="nil"/>
              <w:right w:val="single" w:color="000000" w:sz="4" w:space="0"/>
              <w:tl2br w:val="none" w:color="auto" w:sz="0" w:space="0"/>
              <w:tr2bl w:val="none" w:color="auto" w:sz="0" w:space="0"/>
            </w:tcBorders>
            <w:shd w:val="clear" w:color="auto" w:fill="auto"/>
            <w:vAlign w:val="top"/>
          </w:tcPr>
          <w:p>
            <w:pPr>
              <w:pStyle w:val="0"/>
              <w:widowControl w:val="1"/>
              <w:jc w:val="left"/>
              <w:rPr>
                <w:rFonts w:hint="default" w:ascii="ＭＳ Ｐゴシック" w:hAnsi="ＭＳ Ｐゴシック" w:eastAsia="ＭＳ Ｐゴシック"/>
                <w:kern w:val="0"/>
                <w:sz w:val="18"/>
              </w:rPr>
            </w:pPr>
          </w:p>
        </w:tc>
        <w:tc>
          <w:tcPr>
            <w:tcW w:w="1788" w:type="dxa"/>
            <w:gridSpan w:val="2"/>
            <w:tcBorders>
              <w:top w:val="none" w:color="auto" w:sz="0" w:space="0"/>
              <w:left w:val="single" w:color="000000" w:sz="4" w:space="0"/>
              <w:bottom w:val="none" w:color="auto" w:sz="0" w:space="0"/>
              <w:right w:val="none" w:color="auto" w:sz="0" w:space="0"/>
              <w:tl2br w:val="none" w:color="auto" w:sz="0" w:space="0"/>
              <w:tr2bl w:val="none" w:color="auto" w:sz="0" w:space="0"/>
            </w:tcBorders>
            <w:shd w:val="clear" w:color="auto" w:fill="D9D9D9"/>
            <w:vAlign w:val="top"/>
          </w:tcPr>
          <w:p>
            <w:pPr>
              <w:pStyle w:val="0"/>
              <w:widowControl w:val="1"/>
              <w:jc w:val="center"/>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健　全　度</w:t>
            </w:r>
          </w:p>
        </w:tc>
        <w:tc>
          <w:tcPr>
            <w:tcW w:w="992" w:type="dxa"/>
            <w:gridSpan w:val="2"/>
            <w:shd w:val="clear" w:color="auto" w:fill="auto"/>
            <w:vAlign w:val="top"/>
          </w:tcPr>
          <w:p>
            <w:pPr>
              <w:pStyle w:val="0"/>
              <w:widowControl w:val="1"/>
              <w:ind w:right="200" w:rightChars="100"/>
              <w:jc w:val="right"/>
              <w:rPr>
                <w:rFonts w:hint="default" w:ascii="ＭＳ Ｐゴシック" w:hAnsi="ＭＳ Ｐゴシック" w:eastAsia="ＭＳ Ｐゴシック"/>
                <w:kern w:val="0"/>
                <w:sz w:val="18"/>
              </w:rPr>
            </w:pPr>
            <w:r>
              <w:rPr>
                <w:rFonts w:hint="eastAsia" w:ascii="ＭＳ Ｐゴシック" w:hAnsi="ＭＳ Ｐゴシック" w:eastAsia="ＭＳ Ｐゴシック"/>
                <w:kern w:val="0"/>
                <w:sz w:val="18"/>
              </w:rPr>
              <w:t>5</w:t>
            </w:r>
            <w:r>
              <w:rPr>
                <w:rFonts w:hint="default" w:ascii="ＭＳ Ｐゴシック" w:hAnsi="ＭＳ Ｐゴシック" w:eastAsia="ＭＳ Ｐゴシック"/>
                <w:kern w:val="0"/>
                <w:sz w:val="18"/>
              </w:rPr>
              <w:t>8</w:t>
            </w:r>
          </w:p>
        </w:tc>
      </w:tr>
    </w:tbl>
    <w:p>
      <w:pPr>
        <w:pStyle w:val="34"/>
        <w:widowControl w:val="1"/>
        <w:ind w:left="420" w:leftChars="0"/>
        <w:jc w:val="left"/>
        <w:rPr>
          <w:rFonts w:hint="default" w:ascii="ＭＳ ゴシック" w:hAnsi="ＭＳ ゴシック" w:eastAsia="ＭＳ ゴシック"/>
          <w:kern w:val="0"/>
        </w:rPr>
      </w:pPr>
    </w:p>
    <w:p>
      <w:pPr>
        <w:pStyle w:val="34"/>
        <w:widowControl w:val="1"/>
        <w:ind w:left="420" w:leftChars="0"/>
        <w:jc w:val="left"/>
        <w:rPr>
          <w:rFonts w:hint="default" w:ascii="ＭＳ ゴシック" w:hAnsi="ＭＳ ゴシック" w:eastAsia="ＭＳ ゴシック"/>
          <w:kern w:val="0"/>
        </w:rPr>
      </w:pPr>
    </w:p>
    <w:p>
      <w:pPr>
        <w:pStyle w:val="0"/>
        <w:widowControl w:val="1"/>
        <w:jc w:val="left"/>
        <w:rPr>
          <w:rFonts w:hint="default"/>
          <w:sz w:val="24"/>
        </w:rPr>
      </w:pPr>
      <w:r>
        <w:rPr>
          <w:rFonts w:hint="default"/>
        </w:rPr>
        <w:br w:type="page"/>
      </w:r>
    </w:p>
    <w:p>
      <w:pPr>
        <w:pStyle w:val="3"/>
        <w:rPr>
          <w:rFonts w:hint="default"/>
        </w:rPr>
      </w:pPr>
      <w:r>
        <w:rPr>
          <w:rFonts w:hint="eastAsia"/>
        </w:rPr>
        <w:t>評価結果</w:t>
      </w:r>
    </w:p>
    <w:p>
      <w:pPr>
        <w:pStyle w:val="49"/>
        <w:ind w:left="200" w:leftChars="100" w:firstLine="0" w:firstLineChars="0"/>
        <w:jc w:val="both"/>
        <w:rPr>
          <w:rFonts w:hint="default"/>
        </w:rPr>
      </w:pPr>
      <w:r>
        <w:rPr>
          <w:rFonts w:hint="eastAsia"/>
        </w:rPr>
        <w:t>　構造躯体の健全度の評価結果及び構造躯体以外の劣化状況等の評価結果は、以下に示すとおりです。</w:t>
      </w:r>
    </w:p>
    <w:p>
      <w:pPr>
        <w:pStyle w:val="49"/>
        <w:ind w:left="200" w:leftChars="100" w:firstLine="0" w:firstLineChars="0"/>
        <w:jc w:val="both"/>
        <w:rPr>
          <w:rFonts w:hint="default"/>
        </w:rPr>
      </w:pPr>
    </w:p>
    <w:p>
      <w:pPr>
        <w:pStyle w:val="33"/>
        <w:ind w:left="200" w:leftChars="100"/>
        <w:rPr>
          <w:rFonts w:hint="default" w:ascii="ＭＳ Ｐゴシック" w:hAnsi="ＭＳ Ｐゴシック" w:eastAsia="ＭＳ Ｐゴシック"/>
          <w:b w:val="0"/>
          <w:color w:val="000000" w:themeColor="text1"/>
        </w:rPr>
      </w:pPr>
      <w:bookmarkStart w:id="22" w:name="_Ref53666350"/>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6</w:t>
      </w:r>
      <w:r>
        <w:rPr>
          <w:rFonts w:hint="eastAsia"/>
        </w:rPr>
        <w:fldChar w:fldCharType="end"/>
      </w:r>
      <w:bookmarkEnd w:id="22"/>
      <w:r>
        <w:rPr>
          <w:rFonts w:hint="eastAsia" w:ascii="ＭＳ Ｐゴシック" w:hAnsi="ＭＳ Ｐゴシック" w:eastAsia="ＭＳ Ｐゴシック"/>
          <w:b w:val="0"/>
        </w:rPr>
        <w:t>(1)</w:t>
      </w:r>
      <w:r>
        <w:rPr>
          <w:rFonts w:hint="eastAsia" w:ascii="ＭＳ Ｐゴシック" w:hAnsi="ＭＳ Ｐゴシック" w:eastAsia="ＭＳ Ｐゴシック"/>
          <w:b w:val="0"/>
        </w:rPr>
        <w:t>　構造躯体の健全度及び構造躯体以外の劣化状況等の評価結果（小学校）</w:t>
      </w:r>
    </w:p>
    <w:p>
      <w:pPr>
        <w:pStyle w:val="49"/>
        <w:ind w:left="200" w:leftChars="100" w:firstLine="0" w:firstLineChars="0"/>
        <w:jc w:val="center"/>
        <w:rPr>
          <w:rFonts w:hint="default"/>
        </w:rPr>
      </w:pPr>
      <w:r>
        <w:rPr>
          <w:rFonts w:hint="default"/>
        </w:rPr>
        <w:drawing>
          <wp:inline distT="0" distB="0" distL="0" distR="0">
            <wp:extent cx="5670550" cy="7137400"/>
            <wp:effectExtent l="0" t="0" r="0" b="0"/>
            <wp:docPr id="1056" name="Picture 3"/>
            <a:graphic xmlns:a="http://schemas.openxmlformats.org/drawingml/2006/main">
              <a:graphicData uri="http://schemas.openxmlformats.org/drawingml/2006/picture">
                <pic:pic xmlns:pic="http://schemas.openxmlformats.org/drawingml/2006/picture">
                  <pic:nvPicPr>
                    <pic:cNvPr id="1056" name="Picture 3"/>
                    <pic:cNvPicPr>
                      <a:picLocks noChangeAspect="1" noChangeArrowheads="1"/>
                    </pic:cNvPicPr>
                  </pic:nvPicPr>
                  <pic:blipFill>
                    <a:blip r:embed="rId39"/>
                    <a:stretch>
                      <a:fillRect/>
                    </a:stretch>
                  </pic:blipFill>
                  <pic:spPr>
                    <a:xfrm>
                      <a:off x="0" y="0"/>
                      <a:ext cx="5670550" cy="7137400"/>
                    </a:xfrm>
                    <a:prstGeom prst="rect">
                      <a:avLst/>
                    </a:prstGeom>
                    <a:noFill/>
                    <a:ln>
                      <a:noFill/>
                    </a:ln>
                  </pic:spPr>
                </pic:pic>
              </a:graphicData>
            </a:graphic>
          </wp:inline>
        </w:drawing>
      </w:r>
    </w:p>
    <w:p>
      <w:pPr>
        <w:pStyle w:val="49"/>
        <w:ind w:left="100" w:firstLine="200"/>
        <w:jc w:val="both"/>
        <w:rPr>
          <w:rFonts w:hint="default"/>
        </w:rPr>
      </w:pPr>
      <w:r>
        <w:rPr>
          <w:rFonts w:hint="default"/>
        </w:rPr>
        <w:br w:type="page"/>
      </w:r>
    </w:p>
    <w:p>
      <w:pPr>
        <w:pStyle w:val="33"/>
        <w:rPr>
          <w:rFonts w:hint="default" w:ascii="ＭＳ Ｐゴシック" w:hAnsi="ＭＳ Ｐゴシック" w:eastAsia="ＭＳ Ｐゴシック"/>
          <w:b w:val="0"/>
        </w:rPr>
      </w:pPr>
    </w:p>
    <w:p>
      <w:pPr>
        <w:pStyle w:val="33"/>
        <w:rPr>
          <w:rFonts w:hint="default" w:ascii="ＭＳ Ｐゴシック" w:hAnsi="ＭＳ Ｐゴシック" w:eastAsia="ＭＳ Ｐゴシック"/>
          <w:b w:val="0"/>
          <w:color w:val="000000" w:themeColor="text1"/>
        </w:rPr>
      </w:pPr>
      <w:r>
        <w:rPr>
          <w:rFonts w:hint="eastAsia"/>
        </w:rPr>
        <w:fldChar w:fldCharType="begin"/>
      </w:r>
      <w:r>
        <w:rPr>
          <w:rFonts w:hint="default" w:ascii="ＭＳ Ｐゴシック" w:hAnsi="ＭＳ Ｐゴシック" w:eastAsia="ＭＳ Ｐゴシック"/>
          <w:b w:val="0"/>
        </w:rPr>
        <w:instrText xml:space="preserve"> </w:instrText>
      </w:r>
      <w:r>
        <w:rPr>
          <w:rFonts w:hint="eastAsia" w:ascii="ＭＳ Ｐゴシック" w:hAnsi="ＭＳ Ｐゴシック" w:eastAsia="ＭＳ Ｐゴシック"/>
          <w:b w:val="0"/>
        </w:rPr>
        <w:instrText>REF _Ref53666350 \h</w:instrText>
      </w:r>
      <w:r>
        <w:rPr>
          <w:rFonts w:hint="default" w:ascii="ＭＳ Ｐゴシック" w:hAnsi="ＭＳ Ｐゴシック" w:eastAsia="ＭＳ Ｐゴシック"/>
          <w:b w:val="0"/>
        </w:rPr>
        <w:instrText xml:space="preserve"> </w:instrText>
      </w:r>
      <w:r>
        <w:rPr>
          <w:rFonts w:hint="eastAsia"/>
        </w:rPr>
        <w:fldChar w:fldCharType="separate"/>
      </w:r>
      <w:r>
        <w:rPr>
          <w:rFonts w:hint="default" w:ascii="ＭＳ Ｐゴシック" w:hAnsi="ＭＳ Ｐゴシック" w:eastAsia="ＭＳ Ｐゴシック"/>
          <w:b w:val="0"/>
        </w:rPr>
        <w:t>表</w:t>
      </w:r>
      <w:r>
        <w:rPr>
          <w:rFonts w:hint="default" w:ascii="ＭＳ Ｐゴシック" w:hAnsi="ＭＳ Ｐゴシック" w:eastAsia="ＭＳ Ｐゴシック"/>
          <w:b w:val="0"/>
        </w:rPr>
        <w:t>6</w:t>
      </w:r>
      <w:r>
        <w:rPr>
          <w:rFonts w:hint="eastAsia"/>
        </w:rPr>
        <w:fldChar w:fldCharType="end"/>
      </w:r>
      <w:r>
        <w:rPr>
          <w:rFonts w:hint="eastAsia" w:ascii="ＭＳ Ｐゴシック" w:hAnsi="ＭＳ Ｐゴシック" w:eastAsia="ＭＳ Ｐゴシック"/>
          <w:b w:val="0"/>
        </w:rPr>
        <w:t>(2)</w:t>
      </w:r>
      <w:r>
        <w:rPr>
          <w:rFonts w:hint="eastAsia" w:ascii="ＭＳ Ｐゴシック" w:hAnsi="ＭＳ Ｐゴシック" w:eastAsia="ＭＳ Ｐゴシック"/>
          <w:b w:val="0"/>
        </w:rPr>
        <w:t>　構造躯体の健全度及び構造躯体以外の劣化状況等の評価結果（中学校、幼稚園、給食センター）</w:t>
      </w:r>
    </w:p>
    <w:p>
      <w:pPr>
        <w:pStyle w:val="49"/>
        <w:ind w:left="0" w:leftChars="0" w:firstLine="0" w:firstLineChars="0"/>
        <w:jc w:val="center"/>
        <w:rPr>
          <w:rFonts w:hint="default"/>
        </w:rPr>
      </w:pPr>
      <w:r>
        <w:rPr>
          <w:rFonts w:hint="default"/>
        </w:rPr>
        <w:drawing>
          <wp:inline distT="0" distB="0" distL="0" distR="0">
            <wp:extent cx="5669915" cy="6311900"/>
            <wp:effectExtent l="0" t="0" r="0" b="0"/>
            <wp:docPr id="1057" name="Picture 1"/>
            <a:graphic xmlns:a="http://schemas.openxmlformats.org/drawingml/2006/main">
              <a:graphicData uri="http://schemas.openxmlformats.org/drawingml/2006/picture">
                <pic:pic xmlns:pic="http://schemas.openxmlformats.org/drawingml/2006/picture">
                  <pic:nvPicPr>
                    <pic:cNvPr id="1057" name="Picture 1"/>
                    <pic:cNvPicPr>
                      <a:picLocks noChangeAspect="1" noChangeArrowheads="1"/>
                    </pic:cNvPicPr>
                  </pic:nvPicPr>
                  <pic:blipFill>
                    <a:blip r:embed="rId40"/>
                    <a:stretch>
                      <a:fillRect/>
                    </a:stretch>
                  </pic:blipFill>
                  <pic:spPr>
                    <a:xfrm>
                      <a:off x="0" y="0"/>
                      <a:ext cx="5669915" cy="6311900"/>
                    </a:xfrm>
                    <a:prstGeom prst="rect">
                      <a:avLst/>
                    </a:prstGeom>
                    <a:noFill/>
                    <a:ln>
                      <a:noFill/>
                    </a:ln>
                  </pic:spPr>
                </pic:pic>
              </a:graphicData>
            </a:graphic>
          </wp:inline>
        </w:drawing>
      </w:r>
    </w:p>
    <w:p>
      <w:pPr>
        <w:pStyle w:val="49"/>
        <w:ind w:left="0" w:leftChars="0" w:firstLine="0" w:firstLineChars="0"/>
        <w:jc w:val="both"/>
        <w:rPr>
          <w:rFonts w:hint="default"/>
        </w:rPr>
      </w:pPr>
    </w:p>
    <w:p>
      <w:pPr>
        <w:pStyle w:val="49"/>
        <w:ind w:left="0" w:leftChars="0" w:firstLine="0" w:firstLineChars="0"/>
        <w:jc w:val="both"/>
        <w:rPr>
          <w:rFonts w:hint="default"/>
        </w:rPr>
      </w:pPr>
      <w:r>
        <w:rPr>
          <w:rFonts w:hint="default"/>
        </w:rPr>
        <w:br w:type="page"/>
      </w:r>
    </w:p>
    <w:p>
      <w:pPr>
        <w:pStyle w:val="49"/>
        <w:ind w:left="0" w:leftChars="0" w:firstLine="0" w:firstLineChars="0"/>
        <w:jc w:val="center"/>
        <w:rPr>
          <w:rFonts w:hint="default" w:ascii="ＭＳ Ｐゴシック" w:hAnsi="ＭＳ Ｐゴシック" w:eastAsia="ＭＳ Ｐゴシック"/>
          <w:sz w:val="18"/>
        </w:rPr>
      </w:pPr>
    </w:p>
    <w:p>
      <w:pPr>
        <w:pStyle w:val="49"/>
        <w:ind w:left="0" w:leftChars="0" w:firstLine="0" w:firstLineChars="0"/>
        <w:jc w:val="center"/>
        <w:rPr>
          <w:rFonts w:hint="default" w:ascii="ＭＳ Ｐゴシック" w:hAnsi="ＭＳ Ｐゴシック" w:eastAsia="ＭＳ Ｐゴシック"/>
          <w:sz w:val="18"/>
        </w:rPr>
      </w:pPr>
    </w:p>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511165" cy="2158365"/>
            <wp:effectExtent l="0" t="0" r="0" b="0"/>
            <wp:docPr id="1058" name="Picture 2"/>
            <a:graphic xmlns:a="http://schemas.openxmlformats.org/drawingml/2006/main">
              <a:graphicData uri="http://schemas.openxmlformats.org/drawingml/2006/picture">
                <pic:pic xmlns:pic="http://schemas.openxmlformats.org/drawingml/2006/picture">
                  <pic:nvPicPr>
                    <pic:cNvPr id="1058" name="Picture 2"/>
                    <pic:cNvPicPr>
                      <a:picLocks noChangeAspect="1" noChangeArrowheads="1"/>
                    </pic:cNvPicPr>
                  </pic:nvPicPr>
                  <pic:blipFill>
                    <a:blip r:embed="rId41"/>
                    <a:stretch>
                      <a:fillRect/>
                    </a:stretch>
                  </pic:blipFill>
                  <pic:spPr>
                    <a:xfrm>
                      <a:off x="0" y="0"/>
                      <a:ext cx="5511165" cy="2158365"/>
                    </a:xfrm>
                    <a:prstGeom prst="rect">
                      <a:avLst/>
                    </a:prstGeom>
                    <a:noFill/>
                    <a:ln>
                      <a:noFill/>
                    </a:ln>
                  </pic:spPr>
                </pic:pic>
              </a:graphicData>
            </a:graphic>
          </wp:inline>
        </w:drawing>
      </w:r>
    </w:p>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【小学校】</w:t>
      </w:r>
    </w:p>
    <w:p>
      <w:pPr>
        <w:pStyle w:val="49"/>
        <w:ind w:left="0" w:leftChars="0" w:firstLine="0" w:firstLineChars="0"/>
        <w:jc w:val="center"/>
        <w:rPr>
          <w:rFonts w:hint="default" w:ascii="ＭＳ Ｐゴシック" w:hAnsi="ＭＳ Ｐゴシック" w:eastAsia="ＭＳ Ｐゴシック"/>
          <w:sz w:val="18"/>
        </w:rPr>
      </w:pPr>
    </w:p>
    <w:p>
      <w:pPr>
        <w:pStyle w:val="49"/>
        <w:ind w:left="0" w:leftChars="0" w:firstLine="0" w:firstLineChars="0"/>
        <w:jc w:val="center"/>
        <w:rPr>
          <w:rFonts w:hint="default" w:ascii="ＭＳ Ｐゴシック" w:hAnsi="ＭＳ Ｐゴシック" w:eastAsia="ＭＳ Ｐゴシック"/>
          <w:sz w:val="18"/>
        </w:rPr>
      </w:pPr>
      <w:r>
        <w:rPr>
          <w:rFonts w:hint="default" w:ascii="ＭＳ Ｐゴシック" w:hAnsi="ＭＳ Ｐゴシック" w:eastAsia="ＭＳ Ｐゴシック"/>
          <w:sz w:val="18"/>
        </w:rPr>
        <w:drawing>
          <wp:inline distT="0" distB="0" distL="0" distR="0">
            <wp:extent cx="5517515" cy="2164080"/>
            <wp:effectExtent l="0" t="0" r="0" b="0"/>
            <wp:docPr id="1059" name="Picture 3"/>
            <a:graphic xmlns:a="http://schemas.openxmlformats.org/drawingml/2006/main">
              <a:graphicData uri="http://schemas.openxmlformats.org/drawingml/2006/picture">
                <pic:pic xmlns:pic="http://schemas.openxmlformats.org/drawingml/2006/picture">
                  <pic:nvPicPr>
                    <pic:cNvPr id="1059" name="Picture 3"/>
                    <pic:cNvPicPr>
                      <a:picLocks noChangeAspect="1" noChangeArrowheads="1"/>
                    </pic:cNvPicPr>
                  </pic:nvPicPr>
                  <pic:blipFill>
                    <a:blip r:embed="rId42"/>
                    <a:stretch>
                      <a:fillRect/>
                    </a:stretch>
                  </pic:blipFill>
                  <pic:spPr>
                    <a:xfrm>
                      <a:off x="0" y="0"/>
                      <a:ext cx="5517515" cy="2164080"/>
                    </a:xfrm>
                    <a:prstGeom prst="rect">
                      <a:avLst/>
                    </a:prstGeom>
                    <a:noFill/>
                    <a:ln>
                      <a:noFill/>
                    </a:ln>
                  </pic:spPr>
                </pic:pic>
              </a:graphicData>
            </a:graphic>
          </wp:inline>
        </w:drawing>
      </w:r>
    </w:p>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【中学校】</w:t>
      </w:r>
    </w:p>
    <w:p>
      <w:pPr>
        <w:pStyle w:val="49"/>
        <w:ind w:left="0" w:leftChars="0" w:firstLine="0" w:firstLineChars="0"/>
        <w:jc w:val="center"/>
        <w:rPr>
          <w:rFonts w:hint="default"/>
        </w:rPr>
      </w:pPr>
    </w:p>
    <w:p>
      <w:pPr>
        <w:pStyle w:val="34"/>
        <w:ind w:left="300" w:leftChars="150"/>
        <w:jc w:val="center"/>
        <w:rPr>
          <w:rFonts w:hint="default" w:ascii="ＭＳ Ｐゴシック" w:hAnsi="ＭＳ Ｐゴシック" w:eastAsia="ＭＳ Ｐゴシック"/>
        </w:rPr>
      </w:pPr>
      <w:bookmarkStart w:id="23" w:name="_Ref53667096"/>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9</w:t>
      </w:r>
      <w:r>
        <w:rPr>
          <w:rFonts w:hint="eastAsia"/>
        </w:rPr>
        <w:fldChar w:fldCharType="end"/>
      </w:r>
      <w:bookmarkEnd w:id="23"/>
      <w:r>
        <w:rPr>
          <w:rFonts w:hint="eastAsia" w:ascii="ＭＳ Ｐゴシック" w:hAnsi="ＭＳ Ｐゴシック" w:eastAsia="ＭＳ Ｐゴシック"/>
        </w:rPr>
        <w:t>(1)</w:t>
      </w:r>
      <w:r>
        <w:rPr>
          <w:rFonts w:hint="eastAsia" w:ascii="ＭＳ Ｐゴシック" w:hAnsi="ＭＳ Ｐゴシック" w:eastAsia="ＭＳ Ｐゴシック"/>
        </w:rPr>
        <w:t>　健全度の割合及び築年数との関係（小学校、中学校）</w:t>
      </w:r>
    </w:p>
    <w:p>
      <w:pPr>
        <w:pStyle w:val="49"/>
        <w:ind w:left="0" w:leftChars="0" w:firstLine="0" w:firstLineChars="0"/>
        <w:jc w:val="both"/>
        <w:rPr>
          <w:rFonts w:hint="default"/>
        </w:rPr>
      </w:pPr>
    </w:p>
    <w:p>
      <w:pPr>
        <w:pStyle w:val="0"/>
        <w:widowControl w:val="1"/>
        <w:jc w:val="left"/>
        <w:rPr>
          <w:rFonts w:hint="default"/>
        </w:rPr>
      </w:pPr>
      <w:r>
        <w:rPr>
          <w:rFonts w:hint="default"/>
        </w:rPr>
        <w:br w:type="page"/>
      </w:r>
    </w:p>
    <w:p>
      <w:pPr>
        <w:pStyle w:val="49"/>
        <w:ind w:left="0" w:leftChars="0" w:firstLine="0" w:firstLineChars="0"/>
        <w:jc w:val="both"/>
        <w:rPr>
          <w:rFonts w:hint="default"/>
        </w:rPr>
      </w:pPr>
    </w:p>
    <w:p>
      <w:pPr>
        <w:pStyle w:val="49"/>
        <w:ind w:left="0" w:leftChars="0" w:firstLine="0" w:firstLineChars="0"/>
        <w:jc w:val="both"/>
        <w:rPr>
          <w:rFonts w:hint="default"/>
        </w:rPr>
      </w:pPr>
    </w:p>
    <w:p>
      <w:pPr>
        <w:pStyle w:val="49"/>
        <w:ind w:left="0" w:leftChars="0" w:firstLine="0" w:firstLineChars="0"/>
        <w:jc w:val="center"/>
        <w:rPr>
          <w:rFonts w:hint="default"/>
        </w:rPr>
      </w:pPr>
      <w:r>
        <w:rPr>
          <w:rFonts w:hint="default"/>
        </w:rPr>
        <w:drawing>
          <wp:inline distT="0" distB="0" distL="0" distR="0">
            <wp:extent cx="5517515" cy="2164080"/>
            <wp:effectExtent l="0" t="0" r="0" b="0"/>
            <wp:docPr id="1060" name="Picture 5"/>
            <a:graphic xmlns:a="http://schemas.openxmlformats.org/drawingml/2006/main">
              <a:graphicData uri="http://schemas.openxmlformats.org/drawingml/2006/picture">
                <pic:pic xmlns:pic="http://schemas.openxmlformats.org/drawingml/2006/picture">
                  <pic:nvPicPr>
                    <pic:cNvPr id="1060" name="Picture 5"/>
                    <pic:cNvPicPr>
                      <a:picLocks noChangeAspect="1" noChangeArrowheads="1"/>
                    </pic:cNvPicPr>
                  </pic:nvPicPr>
                  <pic:blipFill>
                    <a:blip r:embed="rId43"/>
                    <a:stretch>
                      <a:fillRect/>
                    </a:stretch>
                  </pic:blipFill>
                  <pic:spPr>
                    <a:xfrm>
                      <a:off x="0" y="0"/>
                      <a:ext cx="5517515" cy="2164080"/>
                    </a:xfrm>
                    <a:prstGeom prst="rect">
                      <a:avLst/>
                    </a:prstGeom>
                    <a:noFill/>
                    <a:ln>
                      <a:noFill/>
                    </a:ln>
                  </pic:spPr>
                </pic:pic>
              </a:graphicData>
            </a:graphic>
          </wp:inline>
        </w:drawing>
      </w:r>
    </w:p>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【幼稚園】</w:t>
      </w:r>
    </w:p>
    <w:p>
      <w:pPr>
        <w:pStyle w:val="49"/>
        <w:ind w:left="0" w:leftChars="0" w:firstLine="0" w:firstLineChars="0"/>
        <w:jc w:val="center"/>
        <w:rPr>
          <w:rFonts w:hint="default"/>
        </w:rPr>
      </w:pPr>
    </w:p>
    <w:p>
      <w:pPr>
        <w:pStyle w:val="49"/>
        <w:ind w:left="0" w:leftChars="0" w:firstLine="0" w:firstLineChars="0"/>
        <w:jc w:val="center"/>
        <w:rPr>
          <w:rFonts w:hint="default"/>
        </w:rPr>
      </w:pPr>
      <w:r>
        <w:rPr>
          <w:rFonts w:hint="default"/>
        </w:rPr>
        <w:drawing>
          <wp:inline distT="0" distB="0" distL="0" distR="0">
            <wp:extent cx="5517515" cy="2164080"/>
            <wp:effectExtent l="0" t="0" r="0" b="0"/>
            <wp:docPr id="1061" name="Picture 6"/>
            <a:graphic xmlns:a="http://schemas.openxmlformats.org/drawingml/2006/main">
              <a:graphicData uri="http://schemas.openxmlformats.org/drawingml/2006/picture">
                <pic:pic xmlns:pic="http://schemas.openxmlformats.org/drawingml/2006/picture">
                  <pic:nvPicPr>
                    <pic:cNvPr id="1061" name="Picture 6"/>
                    <pic:cNvPicPr>
                      <a:picLocks noChangeAspect="1" noChangeArrowheads="1"/>
                    </pic:cNvPicPr>
                  </pic:nvPicPr>
                  <pic:blipFill>
                    <a:blip r:embed="rId44"/>
                    <a:stretch>
                      <a:fillRect/>
                    </a:stretch>
                  </pic:blipFill>
                  <pic:spPr>
                    <a:xfrm>
                      <a:off x="0" y="0"/>
                      <a:ext cx="5517515" cy="2164080"/>
                    </a:xfrm>
                    <a:prstGeom prst="rect">
                      <a:avLst/>
                    </a:prstGeom>
                    <a:noFill/>
                    <a:ln>
                      <a:noFill/>
                    </a:ln>
                  </pic:spPr>
                </pic:pic>
              </a:graphicData>
            </a:graphic>
          </wp:inline>
        </w:drawing>
      </w:r>
    </w:p>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【給食センター】</w:t>
      </w:r>
    </w:p>
    <w:p>
      <w:pPr>
        <w:pStyle w:val="49"/>
        <w:ind w:left="0" w:leftChars="0" w:firstLine="0" w:firstLineChars="0"/>
        <w:jc w:val="center"/>
        <w:rPr>
          <w:rFonts w:hint="default"/>
        </w:rPr>
      </w:pPr>
    </w:p>
    <w:p>
      <w:pPr>
        <w:pStyle w:val="34"/>
        <w:ind w:left="300" w:leftChars="150"/>
        <w:jc w:val="center"/>
        <w:rPr>
          <w:rFonts w:hint="default" w:ascii="ＭＳ Ｐゴシック" w:hAnsi="ＭＳ Ｐゴシック" w:eastAsia="ＭＳ Ｐゴシック"/>
        </w:rPr>
      </w:pPr>
      <w:r>
        <w:rPr>
          <w:rFonts w:hint="eastAsia"/>
        </w:rPr>
        <w:fldChar w:fldCharType="begin"/>
      </w:r>
      <w:r>
        <w:rPr>
          <w:rFonts w:hint="default" w:ascii="ＭＳ Ｐゴシック" w:hAnsi="ＭＳ Ｐゴシック" w:eastAsia="ＭＳ Ｐゴシック"/>
        </w:rPr>
        <w:instrText xml:space="preserve"> </w:instrText>
      </w:r>
      <w:r>
        <w:rPr>
          <w:rFonts w:hint="eastAsia" w:ascii="ＭＳ Ｐゴシック" w:hAnsi="ＭＳ Ｐゴシック" w:eastAsia="ＭＳ Ｐゴシック"/>
        </w:rPr>
        <w:instrText>REF _Ref53667096 \h</w:instrText>
      </w:r>
      <w:r>
        <w:rPr>
          <w:rFonts w:hint="default" w:ascii="ＭＳ Ｐゴシック" w:hAnsi="ＭＳ Ｐゴシック" w:eastAsia="ＭＳ Ｐゴシック"/>
        </w:rPr>
        <w:instrText xml:space="preserve"> </w:instrText>
      </w:r>
      <w:r>
        <w:rPr>
          <w:rFonts w:hint="eastAsia"/>
        </w:rPr>
        <w:fldChar w:fldCharType="separate"/>
      </w:r>
      <w:r>
        <w:rPr>
          <w:rFonts w:hint="default" w:ascii="ＭＳ Ｐゴシック" w:hAnsi="ＭＳ Ｐゴシック" w:eastAsia="ＭＳ Ｐゴシック"/>
        </w:rPr>
        <w:t>図</w:t>
      </w:r>
      <w:r>
        <w:rPr>
          <w:rFonts w:hint="default" w:ascii="ＭＳ Ｐゴシック" w:hAnsi="ＭＳ Ｐゴシック" w:eastAsia="ＭＳ Ｐゴシック"/>
        </w:rPr>
        <w:t>9</w:t>
      </w:r>
      <w:r>
        <w:rPr>
          <w:rFonts w:hint="eastAsia"/>
        </w:rPr>
        <w:fldChar w:fldCharType="end"/>
      </w:r>
      <w:r>
        <w:rPr>
          <w:rFonts w:hint="eastAsia" w:ascii="ＭＳ Ｐゴシック" w:hAnsi="ＭＳ Ｐゴシック" w:eastAsia="ＭＳ Ｐゴシック"/>
        </w:rPr>
        <w:t>(2)</w:t>
      </w:r>
      <w:r>
        <w:rPr>
          <w:rFonts w:hint="eastAsia" w:ascii="ＭＳ Ｐゴシック" w:hAnsi="ＭＳ Ｐゴシック" w:eastAsia="ＭＳ Ｐゴシック"/>
        </w:rPr>
        <w:t>　健全度の割合及び築年数との関係（幼稚園、給食センター）</w:t>
      </w:r>
    </w:p>
    <w:p>
      <w:pPr>
        <w:pStyle w:val="49"/>
        <w:ind w:left="0" w:leftChars="0" w:firstLine="0" w:firstLineChars="0"/>
        <w:rPr>
          <w:rFonts w:hint="default" w:ascii="ＭＳ Ｐゴシック" w:hAnsi="ＭＳ Ｐゴシック" w:eastAsia="ＭＳ Ｐゴシック"/>
        </w:rPr>
      </w:pPr>
    </w:p>
    <w:p>
      <w:pPr>
        <w:pStyle w:val="49"/>
        <w:ind w:left="0" w:leftChars="0" w:firstLine="0" w:firstLineChars="0"/>
        <w:rPr>
          <w:rFonts w:hint="default" w:ascii="ＭＳ Ｐゴシック" w:hAnsi="ＭＳ Ｐゴシック" w:eastAsia="ＭＳ Ｐゴシック"/>
        </w:rPr>
      </w:pPr>
    </w:p>
    <w:p>
      <w:pPr>
        <w:pStyle w:val="49"/>
        <w:ind w:left="0" w:leftChars="0" w:firstLine="0" w:firstLineChars="0"/>
        <w:jc w:val="both"/>
        <w:rPr>
          <w:rFonts w:hint="default"/>
        </w:rPr>
      </w:pPr>
    </w:p>
    <w:p>
      <w:pPr>
        <w:pStyle w:val="0"/>
        <w:widowControl w:val="1"/>
        <w:jc w:val="left"/>
        <w:rPr>
          <w:rFonts w:hint="default"/>
          <w:sz w:val="24"/>
        </w:rPr>
      </w:pPr>
      <w:r>
        <w:rPr>
          <w:rFonts w:hint="default"/>
        </w:rPr>
        <w:br w:type="page"/>
      </w:r>
    </w:p>
    <w:p>
      <w:pPr>
        <w:pStyle w:val="1"/>
        <w:rPr>
          <w:rFonts w:hint="default"/>
        </w:rPr>
      </w:pPr>
      <w:r>
        <w:rPr>
          <w:rFonts w:hint="eastAsia"/>
        </w:rPr>
        <w:t>　</w:t>
      </w:r>
      <w:bookmarkStart w:id="24" w:name="_Toc73347188"/>
      <w:r>
        <w:rPr>
          <w:rFonts w:hint="eastAsia"/>
        </w:rPr>
        <w:t>学校施設整備の基本的な方針等</w:t>
      </w:r>
      <w:bookmarkEnd w:id="24"/>
    </w:p>
    <w:p>
      <w:pPr>
        <w:pStyle w:val="0"/>
        <w:widowControl w:val="1"/>
        <w:jc w:val="left"/>
        <w:rPr>
          <w:rFonts w:hint="default"/>
        </w:rPr>
      </w:pPr>
    </w:p>
    <w:p>
      <w:pPr>
        <w:pStyle w:val="2"/>
        <w:rPr>
          <w:rFonts w:hint="default"/>
        </w:rPr>
      </w:pPr>
      <w:r>
        <w:rPr>
          <w:rFonts w:hint="eastAsia"/>
        </w:rPr>
        <w:t>　</w:t>
      </w:r>
      <w:bookmarkStart w:id="25" w:name="_Toc73347189"/>
      <w:r>
        <w:rPr>
          <w:rFonts w:hint="eastAsia"/>
        </w:rPr>
        <w:t>学校施設の規模・配置計画等の方針</w:t>
      </w:r>
      <w:bookmarkEnd w:id="25"/>
    </w:p>
    <w:p>
      <w:pPr>
        <w:pStyle w:val="0"/>
        <w:rPr>
          <w:rFonts w:hint="default"/>
        </w:rPr>
      </w:pPr>
    </w:p>
    <w:p>
      <w:pPr>
        <w:pStyle w:val="3"/>
        <w:rPr>
          <w:rFonts w:hint="default"/>
        </w:rPr>
      </w:pPr>
      <w:r>
        <w:rPr>
          <w:rFonts w:hint="eastAsia"/>
        </w:rPr>
        <w:t>公共施設等の管理に関する基本的な方針</w:t>
      </w:r>
    </w:p>
    <w:p>
      <w:pPr>
        <w:pStyle w:val="49"/>
        <w:ind w:left="0" w:leftChars="0" w:firstLine="0" w:firstLineChars="0"/>
        <w:rPr>
          <w:rFonts w:hint="default"/>
          <w:b w:val="1"/>
          <w:u w:val="single" w:color="auto"/>
        </w:rPr>
      </w:pPr>
    </w:p>
    <w:tbl>
      <w:tblPr>
        <w:tblStyle w:val="57"/>
        <w:tblW w:w="8782" w:type="dxa"/>
        <w:tblInd w:w="137" w:type="dxa"/>
        <w:tblLayout w:type="fixed"/>
        <w:tblLook w:firstRow="1" w:lastRow="0" w:firstColumn="1" w:lastColumn="0" w:noHBand="0" w:noVBand="1" w:val="04A0"/>
      </w:tblPr>
      <w:tblGrid>
        <w:gridCol w:w="8782"/>
      </w:tblGrid>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①　</w:t>
            </w:r>
            <w:r>
              <w:rPr>
                <w:rFonts w:hint="default" w:ascii="ＭＳ Ｐゴシック" w:hAnsi="ＭＳ Ｐゴシック" w:eastAsia="ＭＳ Ｐゴシック"/>
                <w:sz w:val="22"/>
              </w:rPr>
              <w:t>公共施設等の整理統合・集約化・複合化・廃止・移譲等</w:t>
            </w:r>
          </w:p>
        </w:tc>
      </w:tr>
      <w:tr>
        <w:trPr/>
        <w:tc>
          <w:tcPr>
            <w:tcW w:w="8789" w:type="dxa"/>
            <w:vAlign w:val="top"/>
          </w:tcPr>
          <w:p>
            <w:pPr>
              <w:pStyle w:val="49"/>
              <w:ind w:left="200" w:leftChars="100" w:right="200" w:rightChars="100" w:firstLine="0" w:firstLineChars="0"/>
              <w:jc w:val="both"/>
              <w:rPr>
                <w:rFonts w:hint="default"/>
                <w:b w:val="1"/>
                <w:u w:val="single" w:color="auto"/>
              </w:rPr>
            </w:pPr>
            <w:r>
              <w:rPr>
                <w:rFonts w:hint="eastAsia"/>
              </w:rPr>
              <w:t>　従前からの機能と規模を維持することを前提とした施設の更新を行うのではなく、将来を見据えた機能にも着目し、施設数の減少と延床面積の縮減を念頭に置いた施設総量の最適化として、整理統合・集約化・複合化・廃止・移譲等を含め、検討を行いま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②　</w:t>
            </w:r>
            <w:r>
              <w:rPr>
                <w:rFonts w:hint="default" w:ascii="ＭＳ Ｐゴシック" w:hAnsi="ＭＳ Ｐゴシック" w:eastAsia="ＭＳ Ｐゴシック"/>
                <w:sz w:val="22"/>
              </w:rPr>
              <w:t>公共施設等の長寿命化</w:t>
            </w:r>
          </w:p>
        </w:tc>
      </w:tr>
      <w:tr>
        <w:trPr/>
        <w:tc>
          <w:tcPr>
            <w:tcW w:w="8789" w:type="dxa"/>
            <w:vAlign w:val="top"/>
          </w:tcPr>
          <w:p>
            <w:pPr>
              <w:pStyle w:val="49"/>
              <w:ind w:left="200" w:leftChars="100" w:right="200" w:rightChars="100" w:firstLine="0" w:firstLineChars="0"/>
              <w:jc w:val="both"/>
              <w:rPr>
                <w:rFonts w:hint="default"/>
              </w:rPr>
            </w:pPr>
            <w:r>
              <w:rPr>
                <w:rFonts w:hint="eastAsia"/>
              </w:rPr>
              <w:t>　従前の「事後保全」による対応を改め、「予防保全」による施設の点検・診断等を行い、施設の長寿命化につながるよう、計画的な施設の維持管理や設備等の更新を検討します。</w:t>
            </w:r>
          </w:p>
          <w:p>
            <w:pPr>
              <w:pStyle w:val="49"/>
              <w:ind w:left="200" w:leftChars="100" w:right="200" w:rightChars="100" w:firstLine="0" w:firstLineChars="0"/>
              <w:jc w:val="both"/>
              <w:rPr>
                <w:rFonts w:hint="default"/>
              </w:rPr>
            </w:pPr>
            <w:r>
              <w:rPr>
                <w:rFonts w:hint="eastAsia"/>
              </w:rPr>
              <w:t>　また、インフラ資産についても、各施設の個別計画に基づき、日常的・定期的な点検・診断により、劣化等についての原因等を把握し、費用の軽減策を含め、計画的な修繕・更新による長寿命化を検討しま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③　</w:t>
            </w:r>
            <w:r>
              <w:rPr>
                <w:rFonts w:hint="default" w:ascii="ＭＳ Ｐゴシック" w:hAnsi="ＭＳ Ｐゴシック" w:eastAsia="ＭＳ Ｐゴシック"/>
                <w:sz w:val="22"/>
              </w:rPr>
              <w:t>公共施設の施設保有量と延床面積の最適化</w:t>
            </w:r>
          </w:p>
        </w:tc>
      </w:tr>
      <w:tr>
        <w:trPr/>
        <w:tc>
          <w:tcPr>
            <w:tcW w:w="8789" w:type="dxa"/>
            <w:vAlign w:val="top"/>
          </w:tcPr>
          <w:p>
            <w:pPr>
              <w:pStyle w:val="49"/>
              <w:ind w:left="200" w:leftChars="100" w:right="200" w:rightChars="100" w:firstLine="0" w:firstLineChars="0"/>
              <w:jc w:val="both"/>
              <w:rPr>
                <w:rFonts w:hint="default"/>
              </w:rPr>
            </w:pPr>
            <w:r>
              <w:rPr>
                <w:rFonts w:hint="eastAsia"/>
              </w:rPr>
              <w:t>　老朽化の進行状況や耐震性の有無、提供するサービスの質や需要等を踏まえ、維持管理、耐震化、更新の優先順位を整理し、検討を行います。</w:t>
            </w:r>
          </w:p>
          <w:p>
            <w:pPr>
              <w:pStyle w:val="49"/>
              <w:ind w:left="200" w:leftChars="100" w:right="200" w:rightChars="100" w:firstLine="0" w:firstLineChars="0"/>
              <w:jc w:val="both"/>
              <w:rPr>
                <w:rFonts w:hint="default"/>
              </w:rPr>
            </w:pPr>
            <w:r>
              <w:rPr>
                <w:rFonts w:hint="eastAsia"/>
              </w:rPr>
              <w:t>　また、将来における施設の必要性や地域での役割などを総合的に検討し、施設における維持管理費用の負担を軽減するべく、施設総量の最適化（縮減等）として、整理統合・集約化・複合化・移譲等を図ります。なお、見直し等で余剰施設となり、利用が見込めない施設については、廃止（除却・売却）・貸付等の検討を進めま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④　</w:t>
            </w:r>
            <w:r>
              <w:rPr>
                <w:rFonts w:hint="default" w:ascii="ＭＳ Ｐゴシック" w:hAnsi="ＭＳ Ｐゴシック" w:eastAsia="ＭＳ Ｐゴシック"/>
                <w:sz w:val="22"/>
              </w:rPr>
              <w:t>市民協働の視点による公共施設の維持管理・運営</w:t>
            </w:r>
          </w:p>
        </w:tc>
      </w:tr>
      <w:tr>
        <w:trPr/>
        <w:tc>
          <w:tcPr>
            <w:tcW w:w="8789" w:type="dxa"/>
            <w:vAlign w:val="top"/>
          </w:tcPr>
          <w:p>
            <w:pPr>
              <w:pStyle w:val="49"/>
              <w:ind w:left="200" w:leftChars="100" w:right="200" w:rightChars="100" w:firstLine="0" w:firstLineChars="0"/>
              <w:jc w:val="both"/>
              <w:rPr>
                <w:rFonts w:hint="default"/>
              </w:rPr>
            </w:pPr>
            <w:r>
              <w:rPr>
                <w:rFonts w:hint="eastAsia"/>
              </w:rPr>
              <w:t>　人口の増加とともに整備された公共施設の維持管理・運営等については、市職員だけでは限界があり、市民との協働による視点を含め、多様な主体（自治会や市民団体等）と持続可能な管理運営方法よる効率的・効果的な公共施設の管理・運営を検討する必要があります。</w:t>
            </w:r>
          </w:p>
          <w:p>
            <w:pPr>
              <w:pStyle w:val="49"/>
              <w:ind w:left="200" w:leftChars="100" w:right="200" w:rightChars="100" w:firstLine="0" w:firstLineChars="0"/>
              <w:jc w:val="both"/>
              <w:rPr>
                <w:rFonts w:hint="default"/>
                <w:b w:val="1"/>
                <w:u w:val="single" w:color="auto"/>
              </w:rPr>
            </w:pPr>
            <w:r>
              <w:rPr>
                <w:rFonts w:hint="eastAsia"/>
              </w:rPr>
              <w:t>　また、施設使用料の確保による持続可能な公共施設運営も重要な視点であることから、新たな受益者の負担についても検討が必要です。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⑤　</w:t>
            </w:r>
            <w:r>
              <w:rPr>
                <w:rFonts w:hint="default" w:ascii="ＭＳ Ｐゴシック" w:hAnsi="ＭＳ Ｐゴシック" w:eastAsia="ＭＳ Ｐゴシック"/>
                <w:sz w:val="22"/>
              </w:rPr>
              <w:t>公共施設等マネジメントの一元化</w:t>
            </w:r>
          </w:p>
        </w:tc>
      </w:tr>
      <w:tr>
        <w:trPr/>
        <w:tc>
          <w:tcPr>
            <w:tcW w:w="8789" w:type="dxa"/>
            <w:vAlign w:val="top"/>
          </w:tcPr>
          <w:p>
            <w:pPr>
              <w:pStyle w:val="49"/>
              <w:ind w:left="200" w:leftChars="100" w:right="200" w:rightChars="100" w:firstLine="0" w:firstLineChars="0"/>
              <w:rPr>
                <w:rFonts w:hint="default"/>
              </w:rPr>
            </w:pPr>
            <w:r>
              <w:rPr>
                <w:rFonts w:hint="eastAsia"/>
              </w:rPr>
              <w:t>　施設の老朽度や維持管理費用等に関する情報の一元管理、修繕や建替えの優先順位の意思決定、本計画と各施設の個別計画との調整など、庁内横断的な取組みが重要であり、それらの取組みを推進するため、一元管理できる推進体制の整備が必要です。</w:t>
            </w:r>
          </w:p>
        </w:tc>
      </w:tr>
    </w:tbl>
    <w:p>
      <w:pPr>
        <w:pStyle w:val="49"/>
        <w:ind w:left="0" w:leftChars="0" w:right="280" w:rightChars="140" w:firstLine="0" w:firstLineChars="0"/>
        <w:jc w:val="right"/>
        <w:rPr>
          <w:rFonts w:hint="default"/>
        </w:rPr>
      </w:pPr>
      <w:r>
        <w:rPr>
          <w:rFonts w:hint="eastAsia"/>
        </w:rPr>
        <w:t>「</w:t>
      </w:r>
      <w:r>
        <w:rPr>
          <w:rFonts w:hint="default"/>
        </w:rPr>
        <w:t>阪南市公共施設等総合管理計画</w:t>
      </w:r>
      <w:r>
        <w:rPr>
          <w:rFonts w:hint="eastAsia"/>
        </w:rPr>
        <w:t>」</w:t>
      </w:r>
      <w:r>
        <w:rPr>
          <w:rFonts w:hint="default"/>
        </w:rPr>
        <w:t>（平成</w:t>
      </w:r>
      <w:r>
        <w:rPr>
          <w:rFonts w:hint="eastAsia"/>
        </w:rPr>
        <w:t>2</w:t>
      </w:r>
      <w:r>
        <w:rPr>
          <w:rFonts w:hint="default"/>
        </w:rPr>
        <w:t>8</w:t>
      </w:r>
      <w:r>
        <w:rPr>
          <w:rFonts w:hint="default"/>
        </w:rPr>
        <w:t>年</w:t>
      </w:r>
      <w:r>
        <w:rPr>
          <w:rFonts w:hint="eastAsia"/>
        </w:rPr>
        <w:t>2</w:t>
      </w:r>
      <w:r>
        <w:rPr>
          <w:rFonts w:hint="eastAsia"/>
        </w:rPr>
        <w:t>月</w:t>
      </w:r>
      <w:r>
        <w:rPr>
          <w:rFonts w:hint="default"/>
        </w:rPr>
        <w:t>）より</w:t>
      </w:r>
    </w:p>
    <w:p>
      <w:pPr>
        <w:pStyle w:val="49"/>
        <w:ind w:left="100" w:firstLine="200"/>
        <w:rPr>
          <w:rFonts w:hint="default"/>
        </w:rPr>
      </w:pPr>
    </w:p>
    <w:p>
      <w:pPr>
        <w:pStyle w:val="0"/>
        <w:widowControl w:val="1"/>
        <w:jc w:val="left"/>
        <w:rPr>
          <w:rFonts w:hint="default"/>
          <w:sz w:val="24"/>
        </w:rPr>
      </w:pPr>
      <w:r>
        <w:rPr>
          <w:rFonts w:hint="default"/>
        </w:rPr>
        <w:br w:type="page"/>
      </w:r>
    </w:p>
    <w:p>
      <w:pPr>
        <w:pStyle w:val="3"/>
        <w:rPr>
          <w:rFonts w:hint="default"/>
        </w:rPr>
      </w:pPr>
      <w:r>
        <w:rPr>
          <w:rFonts w:hint="eastAsia"/>
        </w:rPr>
        <w:t>施設類型ごとの管理に関する基本的な方針</w:t>
      </w:r>
    </w:p>
    <w:p>
      <w:pPr>
        <w:pStyle w:val="49"/>
        <w:ind w:left="0" w:leftChars="0" w:firstLine="0" w:firstLineChars="0"/>
        <w:rPr>
          <w:rFonts w:hint="default"/>
          <w:b w:val="1"/>
          <w:u w:val="single" w:color="auto"/>
        </w:rPr>
      </w:pPr>
    </w:p>
    <w:tbl>
      <w:tblPr>
        <w:tblStyle w:val="57"/>
        <w:tblW w:w="8782" w:type="dxa"/>
        <w:tblInd w:w="137" w:type="dxa"/>
        <w:tblLayout w:type="fixed"/>
        <w:tblLook w:firstRow="1" w:lastRow="0" w:firstColumn="1" w:lastColumn="0" w:noHBand="0" w:noVBand="1" w:val="04A0"/>
      </w:tblPr>
      <w:tblGrid>
        <w:gridCol w:w="8782"/>
      </w:tblGrid>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①　学校（学校教育施設）</w:t>
            </w:r>
          </w:p>
        </w:tc>
      </w:tr>
      <w:tr>
        <w:trPr/>
        <w:tc>
          <w:tcPr>
            <w:tcW w:w="8789" w:type="dxa"/>
            <w:vAlign w:val="top"/>
          </w:tcPr>
          <w:p>
            <w:pPr>
              <w:pStyle w:val="49"/>
              <w:ind w:left="200" w:leftChars="100" w:right="200" w:rightChars="100" w:firstLine="0" w:firstLineChars="0"/>
              <w:jc w:val="both"/>
              <w:rPr>
                <w:rFonts w:hint="default"/>
              </w:rPr>
            </w:pPr>
            <w:r>
              <w:rPr>
                <w:rFonts w:hint="eastAsia"/>
              </w:rPr>
              <w:t>　整理統合後の学校については、計画的な予防保全を行うため、個別計画に基づき、予防保全による維持補修を行うとともに、光熱水費などのライフサイクルコストの低減や職員による施設点検を含め、大規模改修を実施するなど、施設の長寿命化を図ります。</w:t>
            </w:r>
          </w:p>
          <w:p>
            <w:pPr>
              <w:pStyle w:val="49"/>
              <w:ind w:left="200" w:leftChars="100" w:right="200" w:rightChars="100" w:firstLine="0" w:firstLineChars="0"/>
              <w:jc w:val="both"/>
              <w:rPr>
                <w:rFonts w:hint="default"/>
                <w:b w:val="1"/>
                <w:u w:val="single" w:color="auto"/>
              </w:rPr>
            </w:pPr>
            <w:r>
              <w:rPr>
                <w:rFonts w:hint="eastAsia"/>
              </w:rPr>
              <w:t>　施設の建替え時期や再配置の検討を行う際には、本市の人口減少に伴う児童生徒数の推移、教育環境等の状況及び学校の配置の状況を踏まえ、新築、未耐震施設等における施設の除却、複合化などの手法を検討しながら延床面積の縮減を含め、行政サービスが低下しないよう進めていきま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②　学校給食センター（学校教育施設）</w:t>
            </w:r>
          </w:p>
        </w:tc>
      </w:tr>
      <w:tr>
        <w:trPr/>
        <w:tc>
          <w:tcPr>
            <w:tcW w:w="8789" w:type="dxa"/>
            <w:vAlign w:val="top"/>
          </w:tcPr>
          <w:p>
            <w:pPr>
              <w:pStyle w:val="49"/>
              <w:ind w:left="200" w:leftChars="100" w:right="200" w:rightChars="100" w:firstLine="0" w:firstLineChars="0"/>
              <w:jc w:val="both"/>
              <w:rPr>
                <w:rFonts w:hint="default"/>
              </w:rPr>
            </w:pPr>
            <w:r>
              <w:rPr>
                <w:rFonts w:hint="eastAsia"/>
              </w:rPr>
              <w:t>　光熱水費などのライフサイクルコストの低減や職員による施設点検を含め、大規模改修を実施するなど、施設の長寿命化を図ります。</w:t>
            </w:r>
          </w:p>
          <w:p>
            <w:pPr>
              <w:pStyle w:val="49"/>
              <w:ind w:left="200" w:leftChars="100" w:right="200" w:rightChars="100" w:firstLine="0" w:firstLineChars="0"/>
              <w:jc w:val="both"/>
              <w:rPr>
                <w:rFonts w:hint="default"/>
              </w:rPr>
            </w:pPr>
            <w:r>
              <w:rPr>
                <w:rFonts w:hint="eastAsia"/>
              </w:rPr>
              <w:t>　施設の建替え時期や再配置の検討を行う際には、本市の人口減少に伴う児童生徒数の推移、教育環境等の状況及び学校の配置、中学校給食センターの検討状況を踏まえ、新築、除却、複合化などの手法を検討しながら延床面積の縮減を含め、行政サービスが低下しないよう進めていきます。</w:t>
            </w:r>
          </w:p>
          <w:p>
            <w:pPr>
              <w:pStyle w:val="49"/>
              <w:ind w:left="200" w:leftChars="100" w:right="200" w:rightChars="100" w:firstLine="0" w:firstLineChars="0"/>
              <w:jc w:val="both"/>
              <w:rPr>
                <w:rFonts w:hint="default"/>
              </w:rPr>
            </w:pPr>
            <w:r>
              <w:rPr>
                <w:rFonts w:hint="eastAsia"/>
              </w:rPr>
              <w:t>　将来的には、大規模改修時に他の公共施設（学校等）との複合化または中学校給食との統合、現在市内の中学校で導入しているデリバリー方式による給食サービスへの転換、他市との広域施設としての連携、ＰＰＰ／ＰＦＩ（官民連携）の手法も併せて検討することとします。</w:t>
            </w:r>
          </w:p>
        </w:tc>
      </w:tr>
      <w:tr>
        <w:trPr/>
        <w:tc>
          <w:tcPr>
            <w:tcW w:w="8789" w:type="dxa"/>
            <w:shd w:val="clear" w:color="auto" w:themeFill="background1" w:themeFillTint="FF" w:themeFillShade="D9"/>
            <w:vAlign w:val="top"/>
          </w:tcPr>
          <w:p>
            <w:pPr>
              <w:pStyle w:val="49"/>
              <w:ind w:left="0" w:leftChars="0" w:firstLine="0" w:firstLineChars="0"/>
              <w:rPr>
                <w:rFonts w:hint="default" w:ascii="ＭＳ Ｐゴシック" w:hAnsi="ＭＳ Ｐゴシック" w:eastAsia="ＭＳ Ｐゴシック"/>
                <w:sz w:val="22"/>
              </w:rPr>
            </w:pPr>
            <w:r>
              <w:rPr>
                <w:rFonts w:hint="eastAsia" w:ascii="ＭＳ Ｐゴシック" w:hAnsi="ＭＳ Ｐゴシック" w:eastAsia="ＭＳ Ｐゴシック"/>
                <w:sz w:val="22"/>
              </w:rPr>
              <w:t>③　幼稚園（子育て支援施設）</w:t>
            </w:r>
          </w:p>
        </w:tc>
      </w:tr>
      <w:tr>
        <w:trPr>
          <w:trHeight w:val="2549" w:hRule="atLeast"/>
        </w:trPr>
        <w:tc>
          <w:tcPr>
            <w:tcW w:w="8789" w:type="dxa"/>
            <w:vAlign w:val="top"/>
          </w:tcPr>
          <w:p>
            <w:pPr>
              <w:pStyle w:val="49"/>
              <w:ind w:left="200" w:leftChars="100" w:right="200" w:rightChars="100" w:firstLine="0" w:firstLineChars="0"/>
              <w:jc w:val="both"/>
              <w:rPr>
                <w:rFonts w:hint="default"/>
              </w:rPr>
            </w:pPr>
            <w:r>
              <w:rPr>
                <w:rFonts w:hint="eastAsia"/>
              </w:rPr>
              <w:t>　「阪南市子育て拠点再構築方針」の再構築の方向性に基づき、尾崎幼稚園と尾崎保育所を民間活力を利用し、認定こども園として令和４年４月の開園を目途に尾崎中学校跡地に集約化を進めます。</w:t>
            </w:r>
          </w:p>
          <w:p>
            <w:pPr>
              <w:pStyle w:val="49"/>
              <w:ind w:left="200" w:leftChars="100" w:right="200" w:rightChars="100" w:firstLine="0" w:firstLineChars="0"/>
              <w:jc w:val="both"/>
              <w:rPr>
                <w:rFonts w:hint="default"/>
              </w:rPr>
            </w:pPr>
            <w:r>
              <w:rPr>
                <w:rFonts w:hint="eastAsia"/>
              </w:rPr>
              <w:t>　また「阪南市小中学校及び幼稚園の整理統合・整備計画」を進め、はあとり幼稚園と朝日幼稚園の統合についても令和４年４月を目途に統合を進めます。</w:t>
            </w:r>
          </w:p>
          <w:p>
            <w:pPr>
              <w:pStyle w:val="49"/>
              <w:ind w:left="200" w:leftChars="100" w:right="200" w:rightChars="100" w:firstLine="0" w:firstLineChars="0"/>
              <w:jc w:val="both"/>
              <w:rPr>
                <w:rFonts w:hint="default"/>
              </w:rPr>
            </w:pPr>
            <w:r>
              <w:rPr>
                <w:rFonts w:hint="eastAsia"/>
              </w:rPr>
              <w:t>　残る</w:t>
            </w:r>
            <w:r>
              <w:rPr>
                <w:rFonts w:hint="default"/>
              </w:rPr>
              <w:t>2</w:t>
            </w:r>
            <w:r>
              <w:rPr>
                <w:rFonts w:hint="default"/>
              </w:rPr>
              <w:t>つの幼稚園についても、阪南市子ども子育て拠点再構築方針に鑑み、老朽化などの課題に取り組</w:t>
            </w:r>
            <w:r>
              <w:rPr>
                <w:rFonts w:hint="eastAsia"/>
              </w:rPr>
              <w:t>み</w:t>
            </w:r>
            <w:r>
              <w:rPr>
                <w:rFonts w:hint="default"/>
              </w:rPr>
              <w:t>適正な管理を検討します</w:t>
            </w:r>
            <w:r>
              <w:rPr>
                <w:rFonts w:hint="eastAsia"/>
              </w:rPr>
              <w:t>。</w:t>
            </w:r>
          </w:p>
        </w:tc>
      </w:tr>
    </w:tbl>
    <w:p>
      <w:pPr>
        <w:pStyle w:val="49"/>
        <w:ind w:left="0" w:leftChars="0" w:right="280" w:rightChars="140" w:firstLine="0" w:firstLineChars="0"/>
        <w:jc w:val="right"/>
        <w:rPr>
          <w:rFonts w:hint="default"/>
        </w:rPr>
      </w:pPr>
      <w:r>
        <w:rPr>
          <w:rFonts w:hint="eastAsia"/>
        </w:rPr>
        <w:t>①及び②は「</w:t>
      </w:r>
      <w:r>
        <w:rPr>
          <w:rFonts w:hint="default"/>
        </w:rPr>
        <w:t>阪南市公共施設等総合管理計画</w:t>
      </w:r>
      <w:r>
        <w:rPr>
          <w:rFonts w:hint="eastAsia"/>
        </w:rPr>
        <w:t>」</w:t>
      </w:r>
      <w:r>
        <w:rPr>
          <w:rFonts w:hint="default"/>
        </w:rPr>
        <w:t>（平成</w:t>
      </w:r>
      <w:r>
        <w:rPr>
          <w:rFonts w:hint="eastAsia"/>
        </w:rPr>
        <w:t>2</w:t>
      </w:r>
      <w:r>
        <w:rPr>
          <w:rFonts w:hint="default"/>
        </w:rPr>
        <w:t>8</w:t>
      </w:r>
      <w:r>
        <w:rPr>
          <w:rFonts w:hint="default"/>
        </w:rPr>
        <w:t>年</w:t>
      </w:r>
      <w:r>
        <w:rPr>
          <w:rFonts w:hint="eastAsia"/>
        </w:rPr>
        <w:t>2</w:t>
      </w:r>
      <w:r>
        <w:rPr>
          <w:rFonts w:hint="default"/>
        </w:rPr>
        <w:t>）より</w:t>
      </w:r>
    </w:p>
    <w:p>
      <w:pPr>
        <w:pStyle w:val="49"/>
        <w:ind w:left="100" w:firstLine="200"/>
        <w:rPr>
          <w:rFonts w:hint="default"/>
        </w:rPr>
      </w:pPr>
    </w:p>
    <w:p>
      <w:pPr>
        <w:pStyle w:val="3"/>
        <w:ind w:left="0" w:firstLine="0"/>
        <w:rPr>
          <w:rFonts w:hint="default"/>
          <w:b w:val="1"/>
          <w:u w:val="single" w:color="auto"/>
        </w:rPr>
      </w:pPr>
      <w:r>
        <w:rPr>
          <w:rFonts w:hint="eastAsia"/>
        </w:rPr>
        <w:t>今後の公共施設マネジメントの進め方</w:t>
      </w:r>
    </w:p>
    <w:p>
      <w:pPr>
        <w:pStyle w:val="49"/>
        <w:ind w:left="200" w:leftChars="100" w:firstLine="0" w:firstLineChars="0"/>
        <w:rPr>
          <w:rFonts w:hint="default"/>
        </w:rPr>
      </w:pPr>
      <w:r>
        <w:rPr>
          <w:rFonts w:hint="eastAsia"/>
        </w:rPr>
        <w:t>　本計画は、今後も「阪南市公共施設等総合管理計画」（平成</w:t>
      </w:r>
      <w:r>
        <w:rPr>
          <w:rFonts w:hint="eastAsia"/>
        </w:rPr>
        <w:t>2</w:t>
      </w:r>
      <w:r>
        <w:rPr>
          <w:rFonts w:hint="default"/>
        </w:rPr>
        <w:t>8</w:t>
      </w:r>
      <w:r>
        <w:rPr>
          <w:rFonts w:hint="default"/>
        </w:rPr>
        <w:t>年</w:t>
      </w:r>
      <w:r>
        <w:rPr>
          <w:rFonts w:hint="eastAsia"/>
        </w:rPr>
        <w:t>2</w:t>
      </w:r>
      <w:r>
        <w:rPr>
          <w:rFonts w:hint="default"/>
        </w:rPr>
        <w:t>月）</w:t>
      </w:r>
      <w:r>
        <w:rPr>
          <w:rFonts w:hint="eastAsia"/>
        </w:rPr>
        <w:t>をもとに</w:t>
      </w:r>
      <w:r>
        <w:rPr>
          <w:rFonts w:hint="default"/>
        </w:rPr>
        <w:t>5</w:t>
      </w:r>
      <w:r>
        <w:rPr>
          <w:rFonts w:hint="default"/>
        </w:rPr>
        <w:t>年ごとに見直しを行い、</w:t>
      </w:r>
      <w:r>
        <w:rPr>
          <w:rFonts w:hint="eastAsia"/>
        </w:rPr>
        <w:t>「阪南市公共施設等総合管理計画」（平成</w:t>
      </w:r>
      <w:r>
        <w:rPr>
          <w:rFonts w:hint="eastAsia"/>
        </w:rPr>
        <w:t>2</w:t>
      </w:r>
      <w:r>
        <w:rPr>
          <w:rFonts w:hint="default"/>
        </w:rPr>
        <w:t>8</w:t>
      </w:r>
      <w:r>
        <w:rPr>
          <w:rFonts w:hint="default"/>
        </w:rPr>
        <w:t>年</w:t>
      </w:r>
      <w:r>
        <w:rPr>
          <w:rFonts w:hint="eastAsia"/>
        </w:rPr>
        <w:t>2</w:t>
      </w:r>
      <w:r>
        <w:rPr>
          <w:rFonts w:hint="default"/>
        </w:rPr>
        <w:t>月）にて掲げた、建築系公共施設の保有量</w:t>
      </w:r>
      <w:r>
        <w:rPr>
          <w:rFonts w:hint="eastAsia"/>
        </w:rPr>
        <w:t>3</w:t>
      </w:r>
      <w:r>
        <w:rPr>
          <w:rFonts w:hint="default"/>
        </w:rPr>
        <w:t>2</w:t>
      </w:r>
      <w:r>
        <w:rPr>
          <w:rFonts w:hint="eastAsia"/>
        </w:rPr>
        <w:t>％</w:t>
      </w:r>
      <w:r>
        <w:rPr>
          <w:rFonts w:hint="default"/>
        </w:rPr>
        <w:t>縮減を目指し、施設の適正配置に向けた取り組みを行います。</w:t>
      </w:r>
    </w:p>
    <w:p>
      <w:pPr>
        <w:pStyle w:val="49"/>
        <w:ind w:left="200" w:leftChars="100" w:firstLine="0" w:firstLineChars="0"/>
        <w:rPr>
          <w:rFonts w:hint="default"/>
        </w:rPr>
      </w:pPr>
    </w:p>
    <w:p>
      <w:pPr>
        <w:pStyle w:val="49"/>
        <w:ind w:left="200" w:leftChars="100" w:firstLine="0" w:firstLineChars="0"/>
        <w:rPr>
          <w:rFonts w:hint="default"/>
        </w:rPr>
      </w:pPr>
    </w:p>
    <w:p>
      <w:pPr>
        <w:pStyle w:val="0"/>
        <w:widowControl w:val="1"/>
        <w:jc w:val="left"/>
        <w:rPr>
          <w:rFonts w:hint="default" w:asciiTheme="majorHAnsi" w:hAnsiTheme="majorHAnsi"/>
          <w:b w:val="1"/>
          <w:color w:val="000000" w:themeColor="text1"/>
          <w:sz w:val="28"/>
        </w:rPr>
      </w:pPr>
      <w:r>
        <w:rPr>
          <w:rFonts w:hint="default"/>
        </w:rPr>
        <w:br w:type="page"/>
      </w:r>
    </w:p>
    <w:p>
      <w:pPr>
        <w:pStyle w:val="2"/>
        <w:rPr>
          <w:rFonts w:hint="default"/>
        </w:rPr>
      </w:pPr>
      <w:r>
        <w:rPr>
          <w:rFonts w:hint="eastAsia"/>
        </w:rPr>
        <w:t>　</w:t>
      </w:r>
      <w:bookmarkStart w:id="26" w:name="_Toc73347190"/>
      <w:r>
        <w:rPr>
          <w:rFonts w:hint="eastAsia"/>
        </w:rPr>
        <w:t>改修等の基本的な方針</w:t>
      </w:r>
      <w:bookmarkEnd w:id="26"/>
    </w:p>
    <w:p>
      <w:pPr>
        <w:pStyle w:val="0"/>
        <w:rPr>
          <w:rFonts w:hint="default"/>
        </w:rPr>
      </w:pPr>
    </w:p>
    <w:p>
      <w:pPr>
        <w:pStyle w:val="3"/>
        <w:rPr>
          <w:rFonts w:hint="default"/>
        </w:rPr>
      </w:pPr>
      <w:r>
        <w:rPr>
          <w:rFonts w:hint="eastAsia"/>
        </w:rPr>
        <w:t>長寿命化の方針</w:t>
      </w:r>
    </w:p>
    <w:p>
      <w:pPr>
        <w:pStyle w:val="49"/>
        <w:ind w:left="200" w:leftChars="100" w:firstLine="0" w:firstLineChars="0"/>
        <w:rPr>
          <w:rFonts w:hint="default"/>
        </w:rPr>
      </w:pPr>
      <w:r>
        <w:rPr>
          <w:rFonts w:hint="eastAsia"/>
        </w:rPr>
        <w:t>　学校施設の目指すべき姿の実現に向けて、「阪南市公共施設等総合管理計画」に示された公共施設等の管理に関する基本的な考え方に基づき、以下の方針で長寿命化を行うこととします。</w:t>
      </w:r>
    </w:p>
    <w:p>
      <w:pPr>
        <w:pStyle w:val="49"/>
        <w:ind w:left="200" w:leftChars="100" w:firstLine="0" w:firstLineChars="0"/>
        <w:rPr>
          <w:rFonts w:hint="default"/>
        </w:rPr>
      </w:pPr>
    </w:p>
    <w:p>
      <w:pPr>
        <w:pStyle w:val="0"/>
        <w:widowControl w:val="1"/>
        <w:ind w:left="284" w:leftChars="142"/>
        <w:jc w:val="left"/>
        <w:rPr>
          <w:rFonts w:hint="default" w:ascii="ＭＳ Ｐゴシック" w:hAnsi="ＭＳ Ｐゴシック" w:eastAsia="ＭＳ Ｐゴシック"/>
          <w:sz w:val="22"/>
        </w:rPr>
      </w:pPr>
      <w:r>
        <w:rPr>
          <w:rFonts w:hint="eastAsia" w:ascii="ＭＳ Ｐゴシック" w:hAnsi="ＭＳ Ｐゴシック" w:eastAsia="ＭＳ Ｐゴシック"/>
          <w:sz w:val="22"/>
        </w:rPr>
        <w:t>■学校施設の長寿命化の方針</w:t>
      </w:r>
    </w:p>
    <w:tbl>
      <w:tblPr>
        <w:tblStyle w:val="11"/>
        <w:tblW w:w="8505"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701"/>
        <w:gridCol w:w="6804"/>
      </w:tblGrid>
      <w:tr>
        <w:trPr>
          <w:trHeight w:val="363" w:hRule="atLeast"/>
        </w:trPr>
        <w:tc>
          <w:tcPr>
            <w:tcW w:w="1701" w:type="dxa"/>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p>
        </w:tc>
        <w:tc>
          <w:tcPr>
            <w:tcW w:w="6804" w:type="dxa"/>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基本的な項目</w:t>
            </w:r>
          </w:p>
        </w:tc>
      </w:tr>
      <w:tr>
        <w:trPr>
          <w:trHeight w:val="363" w:hRule="atLeast"/>
        </w:trPr>
        <w:tc>
          <w:tcPr>
            <w:tcW w:w="1701" w:type="dxa"/>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目標使用年数</w:t>
            </w: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躯体の状態が健全な場合は</w:t>
            </w:r>
            <w:r>
              <w:rPr>
                <w:rFonts w:hint="eastAsia" w:ascii="ＭＳ Ｐゴシック" w:hAnsi="ＭＳ Ｐゴシック" w:eastAsia="ＭＳ Ｐゴシック"/>
                <w:sz w:val="18"/>
              </w:rPr>
              <w:t>80</w:t>
            </w:r>
            <w:r>
              <w:rPr>
                <w:rFonts w:hint="eastAsia" w:ascii="ＭＳ Ｐゴシック" w:hAnsi="ＭＳ Ｐゴシック" w:eastAsia="ＭＳ Ｐゴシック"/>
                <w:sz w:val="18"/>
              </w:rPr>
              <w:t>年</w:t>
            </w:r>
          </w:p>
        </w:tc>
      </w:tr>
      <w:tr>
        <w:trPr>
          <w:trHeight w:val="363" w:hRule="atLeast"/>
        </w:trPr>
        <w:tc>
          <w:tcPr>
            <w:tcW w:w="1701" w:type="dxa"/>
            <w:vMerge w:val="restart"/>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対象とする建物</w:t>
            </w: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color w:val="000000"/>
                <w:sz w:val="18"/>
              </w:rPr>
            </w:pPr>
            <w:r>
              <w:rPr>
                <w:rFonts w:hint="eastAsia" w:ascii="ＭＳ Ｐゴシック" w:hAnsi="ＭＳ Ｐゴシック" w:eastAsia="ＭＳ Ｐゴシック"/>
                <w:color w:val="000000"/>
                <w:sz w:val="18"/>
              </w:rPr>
              <w:t>①　新耐震基準に適合している建築物（旧耐震基準で）</w:t>
            </w:r>
          </w:p>
        </w:tc>
      </w:tr>
      <w:tr>
        <w:trPr>
          <w:trHeight w:val="363" w:hRule="atLeast"/>
        </w:trPr>
        <w:tc>
          <w:tcPr>
            <w:tcW w:w="1701" w:type="dxa"/>
            <w:vMerge w:val="continue"/>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color w:val="000000"/>
                <w:sz w:val="18"/>
              </w:rPr>
            </w:pPr>
            <w:r>
              <w:rPr>
                <w:rFonts w:hint="eastAsia" w:ascii="ＭＳ Ｐゴシック" w:hAnsi="ＭＳ Ｐゴシック" w:eastAsia="ＭＳ Ｐゴシック"/>
                <w:color w:val="000000"/>
                <w:sz w:val="18"/>
              </w:rPr>
              <w:t>②　旧耐震基準の</w:t>
            </w:r>
            <w:r>
              <w:rPr>
                <w:rFonts w:hint="eastAsia" w:ascii="ＭＳ Ｐゴシック" w:hAnsi="ＭＳ Ｐゴシック" w:eastAsia="ＭＳ Ｐゴシック"/>
                <w:color w:val="000000"/>
                <w:sz w:val="18"/>
              </w:rPr>
              <w:t>RC</w:t>
            </w:r>
            <w:r>
              <w:rPr>
                <w:rFonts w:hint="eastAsia" w:ascii="ＭＳ Ｐゴシック" w:hAnsi="ＭＳ Ｐゴシック" w:eastAsia="ＭＳ Ｐゴシック"/>
                <w:color w:val="000000"/>
                <w:sz w:val="18"/>
              </w:rPr>
              <w:t>造で、コンクリート圧縮強度が</w:t>
            </w:r>
            <w:r>
              <w:rPr>
                <w:rFonts w:hint="eastAsia" w:ascii="ＭＳ Ｐゴシック" w:hAnsi="ＭＳ Ｐゴシック" w:eastAsia="ＭＳ Ｐゴシック"/>
                <w:color w:val="000000"/>
                <w:sz w:val="18"/>
              </w:rPr>
              <w:t>13.5N/mm</w:t>
            </w:r>
            <w:r>
              <w:rPr>
                <w:rFonts w:hint="eastAsia" w:ascii="ＭＳ Ｐゴシック" w:hAnsi="ＭＳ Ｐゴシック" w:eastAsia="ＭＳ Ｐゴシック"/>
                <w:color w:val="000000"/>
                <w:sz w:val="18"/>
                <w:vertAlign w:val="superscript"/>
              </w:rPr>
              <w:t>2</w:t>
            </w:r>
            <w:r>
              <w:rPr>
                <w:rFonts w:hint="eastAsia" w:ascii="ＭＳ Ｐゴシック" w:hAnsi="ＭＳ Ｐゴシック" w:eastAsia="ＭＳ Ｐゴシック"/>
                <w:color w:val="000000"/>
                <w:sz w:val="18"/>
              </w:rPr>
              <w:t>以上の建築物</w:t>
            </w:r>
          </w:p>
        </w:tc>
      </w:tr>
      <w:tr>
        <w:trPr>
          <w:trHeight w:val="363" w:hRule="atLeast"/>
        </w:trPr>
        <w:tc>
          <w:tcPr>
            <w:tcW w:w="1701" w:type="dxa"/>
            <w:vMerge w:val="restart"/>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修繕・改修・</w:t>
            </w:r>
          </w:p>
          <w:p>
            <w:pPr>
              <w:pStyle w:val="0"/>
              <w:widowControl w:val="1"/>
              <w:spacing w:line="3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建替えの周期</w:t>
            </w: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20</w:t>
            </w:r>
            <w:r>
              <w:rPr>
                <w:rFonts w:hint="eastAsia" w:ascii="ＭＳ Ｐゴシック" w:hAnsi="ＭＳ Ｐゴシック" w:eastAsia="ＭＳ Ｐゴシック"/>
                <w:sz w:val="18"/>
              </w:rPr>
              <w:t>年（大規模改造）</w:t>
            </w:r>
          </w:p>
        </w:tc>
      </w:tr>
      <w:tr>
        <w:trPr>
          <w:trHeight w:val="363" w:hRule="atLeast"/>
        </w:trPr>
        <w:tc>
          <w:tcPr>
            <w:tcW w:w="1701" w:type="dxa"/>
            <w:vMerge w:val="continue"/>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sz w:val="18"/>
              </w:rPr>
            </w:pPr>
            <w:r>
              <w:rPr>
                <w:rFonts w:hint="eastAsia" w:ascii="ＭＳ Ｐゴシック" w:hAnsi="ＭＳ Ｐゴシック" w:eastAsia="ＭＳ Ｐゴシック"/>
                <w:color w:val="000000"/>
                <w:sz w:val="18"/>
              </w:rPr>
              <w:t>40</w:t>
            </w:r>
            <w:r>
              <w:rPr>
                <w:rFonts w:hint="eastAsia" w:ascii="ＭＳ Ｐゴシック" w:hAnsi="ＭＳ Ｐゴシック" w:eastAsia="ＭＳ Ｐゴシック"/>
                <w:color w:val="000000"/>
                <w:sz w:val="18"/>
              </w:rPr>
              <w:t>年（長寿命化改修）</w:t>
            </w:r>
          </w:p>
        </w:tc>
      </w:tr>
      <w:tr>
        <w:trPr>
          <w:trHeight w:val="363" w:hRule="atLeast"/>
        </w:trPr>
        <w:tc>
          <w:tcPr>
            <w:tcW w:w="1701" w:type="dxa"/>
            <w:vMerge w:val="continue"/>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60</w:t>
            </w:r>
            <w:r>
              <w:rPr>
                <w:rFonts w:hint="eastAsia" w:ascii="ＭＳ Ｐゴシック" w:hAnsi="ＭＳ Ｐゴシック" w:eastAsia="ＭＳ Ｐゴシック"/>
                <w:sz w:val="18"/>
              </w:rPr>
              <w:t>年（大規模改造）</w:t>
            </w:r>
          </w:p>
        </w:tc>
      </w:tr>
      <w:tr>
        <w:trPr>
          <w:trHeight w:val="363" w:hRule="atLeast"/>
        </w:trPr>
        <w:tc>
          <w:tcPr>
            <w:tcW w:w="1701" w:type="dxa"/>
            <w:vMerge w:val="continue"/>
            <w:shd w:val="clear" w:color="auto" w:fill="D9D9D9"/>
            <w:vAlign w:val="center"/>
          </w:tcPr>
          <w:p>
            <w:pPr>
              <w:pStyle w:val="0"/>
              <w:widowControl w:val="1"/>
              <w:spacing w:line="300" w:lineRule="exact"/>
              <w:jc w:val="center"/>
              <w:rPr>
                <w:rFonts w:hint="default" w:ascii="ＭＳ Ｐゴシック" w:hAnsi="ＭＳ Ｐゴシック" w:eastAsia="ＭＳ Ｐゴシック"/>
                <w:sz w:val="18"/>
              </w:rPr>
            </w:pPr>
          </w:p>
        </w:tc>
        <w:tc>
          <w:tcPr>
            <w:tcW w:w="6804" w:type="dxa"/>
            <w:shd w:val="clear" w:color="auto" w:fill="auto"/>
            <w:vAlign w:val="center"/>
          </w:tcPr>
          <w:p>
            <w:pPr>
              <w:pStyle w:val="0"/>
              <w:widowControl w:val="1"/>
              <w:spacing w:line="3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70</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80</w:t>
            </w:r>
            <w:r>
              <w:rPr>
                <w:rFonts w:hint="eastAsia" w:ascii="ＭＳ Ｐゴシック" w:hAnsi="ＭＳ Ｐゴシック" w:eastAsia="ＭＳ Ｐゴシック"/>
                <w:sz w:val="18"/>
              </w:rPr>
              <w:t>年（改築）</w:t>
            </w:r>
          </w:p>
        </w:tc>
      </w:tr>
    </w:tbl>
    <w:p>
      <w:pPr>
        <w:pStyle w:val="0"/>
        <w:widowControl w:val="1"/>
        <w:jc w:val="left"/>
        <w:rPr>
          <w:rFonts w:hint="default" w:ascii="ＭＳ 明朝" w:hAnsi="ＭＳ 明朝" w:eastAsia="ＭＳ 明朝"/>
          <w:sz w:val="21"/>
        </w:rPr>
      </w:pPr>
    </w:p>
    <w:p>
      <w:pPr>
        <w:pStyle w:val="0"/>
        <w:widowControl w:val="1"/>
        <w:ind w:left="200" w:leftChars="100"/>
        <w:jc w:val="center"/>
        <w:rPr>
          <w:rFonts w:hint="default" w:ascii="ＭＳ 明朝" w:hAnsi="ＭＳ 明朝" w:eastAsia="ＭＳ 明朝"/>
          <w:sz w:val="21"/>
        </w:rPr>
      </w:pPr>
      <w:r>
        <w:rPr>
          <w:rFonts w:hint="default"/>
        </w:rPr>
        <w:drawing>
          <wp:inline distT="0" distB="0" distL="0" distR="0">
            <wp:extent cx="5317490" cy="2844800"/>
            <wp:effectExtent l="0" t="0" r="0" b="0"/>
            <wp:docPr id="1062" name="Picture 3"/>
            <a:graphic xmlns:a="http://schemas.openxmlformats.org/drawingml/2006/main">
              <a:graphicData uri="http://schemas.openxmlformats.org/drawingml/2006/picture">
                <pic:pic xmlns:pic="http://schemas.openxmlformats.org/drawingml/2006/picture">
                  <pic:nvPicPr>
                    <pic:cNvPr id="1062" name="Picture 3"/>
                    <pic:cNvPicPr>
                      <a:picLocks noChangeAspect="1" noChangeArrowheads="1"/>
                    </pic:cNvPicPr>
                  </pic:nvPicPr>
                  <pic:blipFill>
                    <a:blip r:embed="rId45"/>
                    <a:stretch>
                      <a:fillRect/>
                    </a:stretch>
                  </pic:blipFill>
                  <pic:spPr>
                    <a:xfrm>
                      <a:off x="0" y="0"/>
                      <a:ext cx="5317490" cy="2844800"/>
                    </a:xfrm>
                    <a:prstGeom prst="rect">
                      <a:avLst/>
                    </a:prstGeom>
                    <a:noFill/>
                    <a:ln>
                      <a:noFill/>
                    </a:ln>
                  </pic:spPr>
                </pic:pic>
              </a:graphicData>
            </a:graphic>
          </wp:inline>
        </w:drawing>
      </w:r>
    </w:p>
    <w:p>
      <w:pPr>
        <w:pStyle w:val="0"/>
        <w:widowControl w:val="1"/>
        <w:jc w:val="left"/>
        <w:rPr>
          <w:rFonts w:hint="default" w:ascii="ＭＳ 明朝" w:hAnsi="ＭＳ 明朝" w:eastAsia="ＭＳ 明朝"/>
          <w:sz w:val="21"/>
        </w:rPr>
      </w:pPr>
    </w:p>
    <w:p>
      <w:pPr>
        <w:pStyle w:val="0"/>
        <w:widowControl w:val="1"/>
        <w:jc w:val="left"/>
        <w:rPr>
          <w:rFonts w:hint="default" w:ascii="ＭＳ 明朝" w:hAnsi="ＭＳ 明朝" w:eastAsia="ＭＳ 明朝"/>
          <w:sz w:val="21"/>
        </w:rPr>
      </w:pPr>
    </w:p>
    <w:p>
      <w:pPr>
        <w:pStyle w:val="0"/>
        <w:widowControl w:val="1"/>
        <w:jc w:val="left"/>
        <w:rPr>
          <w:rFonts w:hint="default" w:ascii="ＭＳ 明朝" w:hAnsi="ＭＳ 明朝" w:eastAsia="ＭＳ 明朝"/>
          <w:sz w:val="21"/>
        </w:rPr>
      </w:pPr>
    </w:p>
    <w:p>
      <w:pPr>
        <w:pStyle w:val="0"/>
        <w:widowControl w:val="1"/>
        <w:jc w:val="left"/>
        <w:rPr>
          <w:rFonts w:hint="default"/>
        </w:rPr>
      </w:pPr>
      <w:r>
        <w:rPr>
          <w:rFonts w:hint="default"/>
        </w:rPr>
        <w:br w:type="page"/>
      </w:r>
    </w:p>
    <w:p>
      <w:pPr>
        <w:pStyle w:val="1"/>
        <w:rPr>
          <w:rFonts w:hint="default"/>
        </w:rPr>
      </w:pPr>
      <w:r>
        <w:rPr>
          <w:rFonts w:hint="eastAsia"/>
        </w:rPr>
        <w:t>　</w:t>
      </w:r>
      <w:bookmarkStart w:id="27" w:name="_Toc73347191"/>
      <w:r>
        <w:rPr>
          <w:rFonts w:hint="eastAsia"/>
        </w:rPr>
        <w:t>基本的な方針等を踏まえた施設整備の水準</w:t>
      </w:r>
      <w:bookmarkEnd w:id="27"/>
    </w:p>
    <w:p>
      <w:pPr>
        <w:pStyle w:val="0"/>
        <w:widowControl w:val="1"/>
        <w:jc w:val="left"/>
        <w:rPr>
          <w:rFonts w:hint="default"/>
        </w:rPr>
      </w:pPr>
    </w:p>
    <w:p>
      <w:pPr>
        <w:pStyle w:val="2"/>
        <w:rPr>
          <w:rFonts w:hint="default"/>
        </w:rPr>
      </w:pPr>
      <w:r>
        <w:rPr>
          <w:rFonts w:hint="eastAsia"/>
        </w:rPr>
        <w:t>　</w:t>
      </w:r>
      <w:bookmarkStart w:id="28" w:name="_Toc73347192"/>
      <w:r>
        <w:rPr>
          <w:rFonts w:hint="eastAsia"/>
        </w:rPr>
        <w:t>改修等の整備水準</w:t>
      </w:r>
      <w:bookmarkEnd w:id="28"/>
    </w:p>
    <w:p>
      <w:pPr>
        <w:pStyle w:val="0"/>
        <w:rPr>
          <w:rFonts w:hint="default"/>
        </w:rPr>
      </w:pPr>
    </w:p>
    <w:p>
      <w:pPr>
        <w:pStyle w:val="0"/>
        <w:ind w:left="100" w:leftChars="50"/>
        <w:rPr>
          <w:rFonts w:hint="default"/>
        </w:rPr>
      </w:pPr>
      <w:r>
        <w:rPr>
          <w:rFonts w:hint="eastAsia"/>
        </w:rPr>
        <w:t>　老朽化状況の実態において把握した現状の整備水準や基本的な方針を踏まえ、今後の改修等に必要な整備水準を検討します。</w:t>
      </w:r>
    </w:p>
    <w:p>
      <w:pPr>
        <w:pStyle w:val="0"/>
        <w:ind w:left="100" w:leftChars="50"/>
        <w:rPr>
          <w:rFonts w:hint="default"/>
        </w:rPr>
      </w:pPr>
    </w:p>
    <w:p>
      <w:pPr>
        <w:pStyle w:val="0"/>
        <w:ind w:left="200" w:leftChars="100"/>
        <w:rPr>
          <w:rFonts w:hint="default"/>
        </w:rPr>
      </w:pPr>
      <w:r>
        <w:rPr>
          <w:rFonts w:hint="eastAsia"/>
        </w:rPr>
        <w:t>①</w:t>
      </w:r>
      <w:r>
        <w:rPr>
          <w:rFonts w:hint="eastAsia"/>
        </w:rPr>
        <w:t xml:space="preserve"> </w:t>
      </w:r>
      <w:r>
        <w:rPr>
          <w:rFonts w:hint="eastAsia"/>
        </w:rPr>
        <w:t>構造躯体の長寿命化</w:t>
      </w:r>
    </w:p>
    <w:p>
      <w:pPr>
        <w:pStyle w:val="0"/>
        <w:ind w:left="300" w:leftChars="150"/>
        <w:rPr>
          <w:rFonts w:hint="default"/>
        </w:rPr>
      </w:pPr>
      <w:r>
        <w:rPr>
          <w:rFonts w:hint="eastAsia"/>
        </w:rPr>
        <w:t>　躯体については、躯体の耐用年数までの使用を想定した改修計画を行います。具体的には、長寿命化改修時にコンクリートの亀裂補修、中性化対策工事を行い、必要に応じてコンクリートのコア抜き調査等を実施します。</w:t>
      </w:r>
    </w:p>
    <w:p>
      <w:pPr>
        <w:pStyle w:val="0"/>
        <w:ind w:left="300" w:leftChars="150"/>
        <w:rPr>
          <w:rFonts w:hint="default"/>
        </w:rPr>
      </w:pPr>
    </w:p>
    <w:p>
      <w:pPr>
        <w:pStyle w:val="0"/>
        <w:ind w:left="200" w:leftChars="100"/>
        <w:rPr>
          <w:rFonts w:hint="default"/>
        </w:rPr>
      </w:pPr>
      <w:r>
        <w:rPr>
          <w:rFonts w:hint="eastAsia"/>
        </w:rPr>
        <w:t>②</w:t>
      </w:r>
      <w:r>
        <w:rPr>
          <w:rFonts w:hint="eastAsia"/>
        </w:rPr>
        <w:t xml:space="preserve"> </w:t>
      </w:r>
      <w:r>
        <w:rPr>
          <w:rFonts w:hint="eastAsia"/>
        </w:rPr>
        <w:t>屋根・外壁等の外装材</w:t>
      </w:r>
    </w:p>
    <w:p>
      <w:pPr>
        <w:pStyle w:val="0"/>
        <w:ind w:left="300" w:leftChars="150"/>
        <w:rPr>
          <w:rFonts w:hint="default"/>
        </w:rPr>
      </w:pPr>
      <w:r>
        <w:rPr>
          <w:rFonts w:hint="eastAsia"/>
        </w:rPr>
        <w:t>　屋根・外壁等の外装材は、破断・欠損等すると漏水を引き起こし、構造躯体の耐久性に大きな影響を与えます。そのため、耐用年数に応じて外装材の補修や更新を行い、漏水を未然に防ぐ必要があります。</w:t>
      </w:r>
    </w:p>
    <w:p>
      <w:pPr>
        <w:pStyle w:val="0"/>
        <w:ind w:left="300" w:leftChars="150"/>
        <w:rPr>
          <w:rFonts w:hint="default"/>
        </w:rPr>
      </w:pPr>
    </w:p>
    <w:p>
      <w:pPr>
        <w:pStyle w:val="0"/>
        <w:ind w:left="200" w:leftChars="100"/>
        <w:rPr>
          <w:rFonts w:hint="default"/>
        </w:rPr>
      </w:pPr>
      <w:r>
        <w:rPr>
          <w:rFonts w:hint="eastAsia"/>
        </w:rPr>
        <w:t>③</w:t>
      </w:r>
      <w:r>
        <w:rPr>
          <w:rFonts w:hint="eastAsia"/>
        </w:rPr>
        <w:t xml:space="preserve"> </w:t>
      </w:r>
      <w:r>
        <w:rPr>
          <w:rFonts w:hint="eastAsia"/>
        </w:rPr>
        <w:t>内部仕上げ</w:t>
      </w:r>
    </w:p>
    <w:p>
      <w:pPr>
        <w:pStyle w:val="0"/>
        <w:ind w:left="300" w:leftChars="150"/>
        <w:rPr>
          <w:rFonts w:hint="default"/>
        </w:rPr>
      </w:pPr>
      <w:r>
        <w:rPr>
          <w:rFonts w:hint="eastAsia"/>
        </w:rPr>
        <w:t>　内部仕上げは建物の長寿命化には直接影響しませんが、社会的要求を満たす機能や性能を検討する必要があります。具体的には、内装仕上げ材や家具などの老朽部分の補修・復旧のほか、非構造部材の耐震対策、トイレの洋式化、手摺・スロープ・点字ブロック等の設置、高断熱・高気密な製品の導入等が挙げられます。</w:t>
      </w:r>
    </w:p>
    <w:p>
      <w:pPr>
        <w:pStyle w:val="0"/>
        <w:ind w:left="300" w:leftChars="150"/>
        <w:rPr>
          <w:rFonts w:hint="default"/>
        </w:rPr>
      </w:pPr>
    </w:p>
    <w:p>
      <w:pPr>
        <w:pStyle w:val="0"/>
        <w:ind w:left="200" w:leftChars="100"/>
        <w:rPr>
          <w:rFonts w:hint="default"/>
        </w:rPr>
      </w:pPr>
      <w:r>
        <w:rPr>
          <w:rFonts w:hint="eastAsia"/>
        </w:rPr>
        <w:t>④</w:t>
      </w:r>
      <w:r>
        <w:rPr>
          <w:rFonts w:hint="eastAsia"/>
        </w:rPr>
        <w:t xml:space="preserve"> </w:t>
      </w:r>
      <w:r>
        <w:rPr>
          <w:rFonts w:hint="eastAsia"/>
        </w:rPr>
        <w:t>設備機器</w:t>
      </w:r>
    </w:p>
    <w:p>
      <w:pPr>
        <w:pStyle w:val="0"/>
        <w:ind w:left="300" w:leftChars="150"/>
        <w:rPr>
          <w:rFonts w:hint="default"/>
        </w:rPr>
      </w:pPr>
      <w:r>
        <w:rPr>
          <w:rFonts w:hint="eastAsia"/>
        </w:rPr>
        <w:t>　長寿命化において配慮すべき性能に対して、各部の整備レベルを設定し、対費用効果を考慮して、最適な仕様を設定します。</w:t>
      </w:r>
    </w:p>
    <w:p>
      <w:pPr>
        <w:pStyle w:val="0"/>
        <w:ind w:left="300" w:leftChars="150"/>
        <w:rPr>
          <w:rFonts w:hint="default"/>
        </w:rPr>
      </w:pPr>
      <w:r>
        <w:rPr>
          <w:rFonts w:hint="eastAsia"/>
        </w:rPr>
        <w:t>　また、将来の社会的要求水準の高まりへの対応や、既存不適格となっている学校のエレベーターの改修等、建物の整備レベルの統一を図ります。</w:t>
      </w:r>
    </w:p>
    <w:p>
      <w:pPr>
        <w:pStyle w:val="0"/>
        <w:ind w:left="300" w:leftChars="150"/>
        <w:rPr>
          <w:rFonts w:hint="default"/>
        </w:rPr>
      </w:pPr>
    </w:p>
    <w:p>
      <w:pPr>
        <w:pStyle w:val="0"/>
        <w:ind w:left="300" w:leftChars="150"/>
        <w:rPr>
          <w:rFonts w:hint="default"/>
        </w:rPr>
      </w:pPr>
    </w:p>
    <w:p>
      <w:pPr>
        <w:pStyle w:val="0"/>
        <w:ind w:left="300" w:leftChars="150"/>
        <w:rPr>
          <w:rFonts w:hint="default"/>
        </w:rPr>
      </w:pPr>
      <w:r>
        <w:rPr>
          <w:rFonts w:hint="default"/>
        </w:rPr>
        <w:br w:type="page"/>
      </w:r>
    </w:p>
    <w:p>
      <w:pPr>
        <w:pStyle w:val="2"/>
        <w:rPr>
          <w:rFonts w:hint="default"/>
        </w:rPr>
      </w:pPr>
      <w:r>
        <w:rPr>
          <w:rFonts w:hint="eastAsia"/>
        </w:rPr>
        <w:t>　</w:t>
      </w:r>
      <w:bookmarkStart w:id="29" w:name="_Toc73347193"/>
      <w:r>
        <w:rPr>
          <w:rFonts w:hint="eastAsia"/>
        </w:rPr>
        <w:t>維持管理の項目・手法等</w:t>
      </w:r>
      <w:bookmarkEnd w:id="29"/>
    </w:p>
    <w:p>
      <w:pPr>
        <w:pStyle w:val="0"/>
        <w:rPr>
          <w:rFonts w:hint="default"/>
          <w:sz w:val="22"/>
        </w:rPr>
      </w:pPr>
    </w:p>
    <w:p>
      <w:pPr>
        <w:pStyle w:val="3"/>
        <w:rPr>
          <w:rFonts w:hint="default"/>
        </w:rPr>
      </w:pPr>
      <w:r>
        <w:rPr>
          <w:rFonts w:hint="eastAsia"/>
        </w:rPr>
        <w:t>維持管理の項目・手法</w:t>
      </w:r>
    </w:p>
    <w:p>
      <w:pPr>
        <w:pStyle w:val="0"/>
        <w:ind w:left="200" w:leftChars="100"/>
        <w:rPr>
          <w:rFonts w:hint="default"/>
        </w:rPr>
      </w:pPr>
      <w:r>
        <w:rPr>
          <w:rFonts w:hint="eastAsia"/>
        </w:rPr>
        <w:t>　今後も学校施設としての機能を維持していくためには、定期的に改修工事を行うだけでなく、日常的、定期的に施設の点検や清掃、情報管理を行う必要があります。</w:t>
      </w:r>
    </w:p>
    <w:p>
      <w:pPr>
        <w:pStyle w:val="0"/>
        <w:ind w:left="200" w:leftChars="100"/>
        <w:rPr>
          <w:rFonts w:hint="default"/>
        </w:rPr>
      </w:pPr>
      <w:r>
        <w:rPr>
          <w:rFonts w:hint="eastAsia"/>
        </w:rPr>
        <w:t>　日常的に、定期的に維持管理を行うことで、建物の劣化状況を詳細に把握でき、より早急に気付くことができるため、施設に応じた維持、改修内容や時期を計画に反映することができます。</w:t>
      </w:r>
    </w:p>
    <w:p>
      <w:pPr>
        <w:pStyle w:val="0"/>
        <w:ind w:left="200" w:leftChars="100"/>
        <w:rPr>
          <w:rFonts w:hint="default"/>
        </w:rPr>
      </w:pPr>
    </w:p>
    <w:p>
      <w:pPr>
        <w:pStyle w:val="33"/>
        <w:ind w:left="200" w:leftChars="10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7</w:t>
      </w:r>
      <w:r>
        <w:rPr>
          <w:rFonts w:hint="eastAsia"/>
        </w:rPr>
        <w:fldChar w:fldCharType="end"/>
      </w:r>
      <w:r>
        <w:rPr>
          <w:rFonts w:hint="eastAsia" w:ascii="ＭＳ Ｐゴシック" w:hAnsi="ＭＳ Ｐゴシック" w:eastAsia="ＭＳ Ｐゴシック"/>
          <w:b w:val="0"/>
        </w:rPr>
        <w:t>　維持管理の項目・手法例</w:t>
      </w:r>
    </w:p>
    <w:tbl>
      <w:tblPr>
        <w:tblStyle w:val="11"/>
        <w:tblW w:w="8582"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319"/>
        <w:gridCol w:w="1516"/>
        <w:gridCol w:w="2835"/>
        <w:gridCol w:w="1417"/>
        <w:gridCol w:w="1495"/>
      </w:tblGrid>
      <w:tr>
        <w:trPr>
          <w:trHeight w:val="261" w:hRule="atLeast"/>
        </w:trPr>
        <w:tc>
          <w:tcPr>
            <w:tcW w:w="1319" w:type="dxa"/>
            <w:shd w:val="clear" w:color="auto" w:fill="BFBFBF"/>
            <w:vAlign w:val="center"/>
          </w:tcPr>
          <w:p>
            <w:pPr>
              <w:pStyle w:val="0"/>
              <w:widowControl w:val="1"/>
              <w:spacing w:line="22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維持管理分類</w:t>
            </w:r>
          </w:p>
        </w:tc>
        <w:tc>
          <w:tcPr>
            <w:tcW w:w="1516" w:type="dxa"/>
            <w:shd w:val="clear" w:color="auto" w:fill="BFBFBF"/>
            <w:vAlign w:val="center"/>
          </w:tcPr>
          <w:p>
            <w:pPr>
              <w:pStyle w:val="0"/>
              <w:widowControl w:val="1"/>
              <w:spacing w:line="22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項目</w:t>
            </w:r>
          </w:p>
        </w:tc>
        <w:tc>
          <w:tcPr>
            <w:tcW w:w="2835" w:type="dxa"/>
            <w:shd w:val="clear" w:color="auto" w:fill="BFBFBF"/>
            <w:vAlign w:val="center"/>
          </w:tcPr>
          <w:p>
            <w:pPr>
              <w:pStyle w:val="0"/>
              <w:widowControl w:val="1"/>
              <w:spacing w:line="22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内容</w:t>
            </w:r>
          </w:p>
        </w:tc>
        <w:tc>
          <w:tcPr>
            <w:tcW w:w="1417" w:type="dxa"/>
            <w:shd w:val="clear" w:color="auto" w:fill="BFBFBF"/>
            <w:vAlign w:val="center"/>
          </w:tcPr>
          <w:p>
            <w:pPr>
              <w:pStyle w:val="0"/>
              <w:widowControl w:val="1"/>
              <w:spacing w:line="22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頻度</w:t>
            </w:r>
          </w:p>
        </w:tc>
        <w:tc>
          <w:tcPr>
            <w:tcW w:w="1495" w:type="dxa"/>
            <w:shd w:val="clear" w:color="auto" w:fill="BFBFBF"/>
            <w:vAlign w:val="center"/>
          </w:tcPr>
          <w:p>
            <w:pPr>
              <w:pStyle w:val="0"/>
              <w:widowControl w:val="1"/>
              <w:spacing w:line="22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主な担当者</w:t>
            </w:r>
          </w:p>
        </w:tc>
      </w:tr>
      <w:tr>
        <w:trPr>
          <w:trHeight w:val="463" w:hRule="atLeast"/>
        </w:trPr>
        <w:tc>
          <w:tcPr>
            <w:tcW w:w="1319"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日常的な点検</w:t>
            </w: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日常点検</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機器及び設備について、異常の有無、兆候を発見する。</w:t>
            </w:r>
          </w:p>
        </w:tc>
        <w:tc>
          <w:tcPr>
            <w:tcW w:w="1417"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毎日</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施設管理者</w:t>
            </w:r>
          </w:p>
        </w:tc>
      </w:tr>
      <w:tr>
        <w:trPr>
          <w:trHeight w:val="752" w:hRule="atLeast"/>
        </w:trPr>
        <w:tc>
          <w:tcPr>
            <w:tcW w:w="1319" w:type="dxa"/>
            <w:vMerge w:val="restart"/>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定期的な点検</w:t>
            </w: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自主点検</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機器及び設備の破損、腐食状況を把握し、修理・修繕等の保全計画を立てる。</w:t>
            </w:r>
          </w:p>
        </w:tc>
        <w:tc>
          <w:tcPr>
            <w:tcW w:w="1417" w:type="dxa"/>
            <w:vMerge w:val="restart"/>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r>
              <w:rPr>
                <w:rFonts w:hint="eastAsia" w:ascii="ＭＳ Ｐゴシック" w:hAnsi="ＭＳ Ｐゴシック" w:eastAsia="ＭＳ Ｐゴシック"/>
                <w:sz w:val="18"/>
              </w:rPr>
              <w:t>週、</w:t>
            </w:r>
            <w:r>
              <w:rPr>
                <w:rFonts w:hint="eastAsia" w:ascii="ＭＳ Ｐゴシック" w:hAnsi="ＭＳ Ｐゴシック" w:eastAsia="ＭＳ Ｐゴシック"/>
                <w:sz w:val="18"/>
              </w:rPr>
              <w:t>1</w:t>
            </w:r>
            <w:r>
              <w:rPr>
                <w:rFonts w:hint="eastAsia" w:ascii="ＭＳ Ｐゴシック" w:hAnsi="ＭＳ Ｐゴシック" w:eastAsia="ＭＳ Ｐゴシック"/>
                <w:sz w:val="18"/>
              </w:rPr>
              <w:t>ヶ月、半年、</w:t>
            </w:r>
            <w:r>
              <w:rPr>
                <w:rFonts w:hint="eastAsia" w:ascii="ＭＳ Ｐゴシック" w:hAnsi="ＭＳ Ｐゴシック" w:eastAsia="ＭＳ Ｐゴシック"/>
                <w:sz w:val="18"/>
              </w:rPr>
              <w:t>1</w:t>
            </w:r>
            <w:r>
              <w:rPr>
                <w:rFonts w:hint="eastAsia" w:ascii="ＭＳ Ｐゴシック" w:hAnsi="ＭＳ Ｐゴシック" w:eastAsia="ＭＳ Ｐゴシック"/>
                <w:sz w:val="18"/>
              </w:rPr>
              <w:t>年等周期を設定</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施設管理者、</w:t>
            </w:r>
          </w:p>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施設設置者</w:t>
            </w:r>
          </w:p>
        </w:tc>
      </w:tr>
      <w:tr>
        <w:trPr>
          <w:trHeight w:val="737" w:hRule="atLeast"/>
        </w:trPr>
        <w:tc>
          <w:tcPr>
            <w:tcW w:w="1319" w:type="dxa"/>
            <w:vMerge w:val="continue"/>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法定点検</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自主点検では確認できない箇所や、法定的に定められた箇所に関して、専門業者による点検する。</w:t>
            </w:r>
          </w:p>
        </w:tc>
        <w:tc>
          <w:tcPr>
            <w:tcW w:w="1417" w:type="dxa"/>
            <w:vMerge w:val="continue"/>
            <w:shd w:val="clear" w:color="auto" w:fill="auto"/>
            <w:vAlign w:val="center"/>
          </w:tcPr>
          <w:p>
            <w:pPr>
              <w:pStyle w:val="0"/>
              <w:widowControl w:val="1"/>
              <w:spacing w:line="200" w:lineRule="exact"/>
              <w:rPr>
                <w:rFonts w:hint="default" w:ascii="ＭＳ Ｐゴシック" w:hAnsi="ＭＳ Ｐゴシック" w:eastAsia="ＭＳ Ｐゴシック"/>
                <w:sz w:val="18"/>
              </w:rPr>
            </w:pP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専門業者</w:t>
            </w:r>
          </w:p>
        </w:tc>
      </w:tr>
      <w:tr>
        <w:trPr/>
        <w:tc>
          <w:tcPr>
            <w:tcW w:w="1319"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臨時的な点検</w:t>
            </w: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臨時点検</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日常、定期点検以外に行う臨時的な点検。</w:t>
            </w:r>
          </w:p>
        </w:tc>
        <w:tc>
          <w:tcPr>
            <w:tcW w:w="1417"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故障警報等随時実施</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施設管理者、施設設置者、専門業者</w:t>
            </w:r>
          </w:p>
        </w:tc>
      </w:tr>
      <w:tr>
        <w:trPr>
          <w:trHeight w:val="670" w:hRule="atLeast"/>
        </w:trPr>
        <w:tc>
          <w:tcPr>
            <w:tcW w:w="1319"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清掃</w:t>
            </w: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清掃</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快適な環境を維持しながら建物の仕上げ材や機器の寿命を延ばすため、塵や汚れを除去する。</w:t>
            </w:r>
          </w:p>
        </w:tc>
        <w:tc>
          <w:tcPr>
            <w:tcW w:w="1417"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各点検に合わせて随時実施</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施設管理者、</w:t>
            </w:r>
          </w:p>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専門業者</w:t>
            </w:r>
          </w:p>
        </w:tc>
      </w:tr>
      <w:tr>
        <w:trPr>
          <w:trHeight w:val="695" w:hRule="atLeast"/>
        </w:trPr>
        <w:tc>
          <w:tcPr>
            <w:tcW w:w="1319" w:type="dxa"/>
            <w:vMerge w:val="restart"/>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情報管理</w:t>
            </w: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図面デジタル化</w:t>
            </w:r>
          </w:p>
        </w:tc>
        <w:tc>
          <w:tcPr>
            <w:tcW w:w="2835"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学校施設の図面をデジタル化・管理し、点検や現状把握の際に活用する。</w:t>
            </w:r>
          </w:p>
        </w:tc>
        <w:tc>
          <w:tcPr>
            <w:tcW w:w="1417"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施設設置者</w:t>
            </w:r>
          </w:p>
        </w:tc>
      </w:tr>
      <w:tr>
        <w:trPr/>
        <w:tc>
          <w:tcPr>
            <w:tcW w:w="1319" w:type="dxa"/>
            <w:vMerge w:val="continue"/>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点検結果入力</w:t>
            </w:r>
          </w:p>
        </w:tc>
        <w:tc>
          <w:tcPr>
            <w:tcW w:w="2835" w:type="dxa"/>
            <w:vMerge w:val="restart"/>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点検・工事の履歴を作成し、各学校施設の現状把握や計画への反映に活用する。</w:t>
            </w:r>
          </w:p>
        </w:tc>
        <w:tc>
          <w:tcPr>
            <w:tcW w:w="1417"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各点検に合わせて随時実施</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施設設置者</w:t>
            </w:r>
          </w:p>
        </w:tc>
      </w:tr>
      <w:tr>
        <w:trPr>
          <w:trHeight w:val="297" w:hRule="atLeast"/>
        </w:trPr>
        <w:tc>
          <w:tcPr>
            <w:tcW w:w="1319" w:type="dxa"/>
            <w:vMerge w:val="continue"/>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p>
        </w:tc>
        <w:tc>
          <w:tcPr>
            <w:tcW w:w="1516"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工事履歴作成</w:t>
            </w:r>
          </w:p>
        </w:tc>
        <w:tc>
          <w:tcPr>
            <w:tcW w:w="2835" w:type="dxa"/>
            <w:vMerge w:val="continue"/>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p>
        </w:tc>
        <w:tc>
          <w:tcPr>
            <w:tcW w:w="1417" w:type="dxa"/>
            <w:shd w:val="clear" w:color="auto" w:fill="auto"/>
            <w:vAlign w:val="center"/>
          </w:tcPr>
          <w:p>
            <w:pPr>
              <w:pStyle w:val="0"/>
              <w:widowControl w:val="1"/>
              <w:spacing w:line="20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改修・修繕後に実施</w:t>
            </w:r>
          </w:p>
        </w:tc>
        <w:tc>
          <w:tcPr>
            <w:tcW w:w="1495" w:type="dxa"/>
            <w:shd w:val="clear" w:color="auto" w:fill="auto"/>
            <w:vAlign w:val="center"/>
          </w:tcPr>
          <w:p>
            <w:pPr>
              <w:pStyle w:val="0"/>
              <w:widowControl w:val="1"/>
              <w:spacing w:line="200" w:lineRule="exact"/>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施設設置者</w:t>
            </w:r>
          </w:p>
        </w:tc>
      </w:tr>
    </w:tbl>
    <w:p>
      <w:pPr>
        <w:pStyle w:val="0"/>
        <w:jc w:val="center"/>
        <w:rPr>
          <w:rFonts w:hint="default"/>
        </w:rPr>
      </w:pPr>
    </w:p>
    <w:p>
      <w:pPr>
        <w:pStyle w:val="0"/>
        <w:jc w:val="center"/>
        <w:rPr>
          <w:rFonts w:hint="default"/>
        </w:rPr>
      </w:pPr>
      <w:r>
        <w:rPr>
          <w:rFonts w:hint="default"/>
        </w:rPr>
        <w:drawing>
          <wp:inline distT="0" distB="0" distL="0" distR="0">
            <wp:extent cx="5114925" cy="3400425"/>
            <wp:effectExtent l="0" t="0" r="0" b="0"/>
            <wp:docPr id="1063" name="Picture 13"/>
            <a:graphic xmlns:a="http://schemas.openxmlformats.org/drawingml/2006/main">
              <a:graphicData uri="http://schemas.openxmlformats.org/drawingml/2006/picture">
                <pic:pic xmlns:pic="http://schemas.openxmlformats.org/drawingml/2006/picture">
                  <pic:nvPicPr>
                    <pic:cNvPr id="1063" name="Picture 13"/>
                    <pic:cNvPicPr>
                      <a:picLocks noChangeAspect="1" noChangeArrowheads="1"/>
                    </pic:cNvPicPr>
                  </pic:nvPicPr>
                  <pic:blipFill>
                    <a:blip r:embed="rId46"/>
                    <a:stretch>
                      <a:fillRect/>
                    </a:stretch>
                  </pic:blipFill>
                  <pic:spPr>
                    <a:xfrm>
                      <a:off x="0" y="0"/>
                      <a:ext cx="5114925" cy="3400425"/>
                    </a:xfrm>
                    <a:prstGeom prst="rect">
                      <a:avLst/>
                    </a:prstGeom>
                    <a:noFill/>
                    <a:ln>
                      <a:noFill/>
                    </a:ln>
                  </pic:spPr>
                </pic:pic>
              </a:graphicData>
            </a:graphic>
          </wp:inline>
        </w:drawing>
      </w:r>
    </w:p>
    <w:p>
      <w:pPr>
        <w:pStyle w:val="49"/>
        <w:ind w:left="200" w:leftChars="100" w:firstLine="0" w:firstLineChars="0"/>
        <w:jc w:val="center"/>
        <w:rPr>
          <w:rFonts w:hint="default"/>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10</w:t>
      </w:r>
      <w:r>
        <w:rPr>
          <w:rFonts w:hint="eastAsia"/>
        </w:rPr>
        <w:fldChar w:fldCharType="end"/>
      </w:r>
      <w:r>
        <w:rPr>
          <w:rFonts w:hint="eastAsia" w:ascii="ＭＳ Ｐゴシック" w:hAnsi="ＭＳ Ｐゴシック" w:eastAsia="ＭＳ Ｐゴシック"/>
        </w:rPr>
        <w:t>　維持管理の項目</w:t>
      </w:r>
    </w:p>
    <w:p>
      <w:pPr>
        <w:pStyle w:val="3"/>
        <w:rPr>
          <w:rFonts w:hint="default"/>
        </w:rPr>
      </w:pPr>
      <w:r>
        <w:rPr>
          <w:rFonts w:hint="default"/>
        </w:rPr>
        <w:br w:type="page"/>
      </w:r>
      <w:r>
        <w:rPr>
          <w:rFonts w:hint="eastAsia"/>
        </w:rPr>
        <w:t>法定点検の項目・周期等法</w:t>
      </w:r>
    </w:p>
    <w:p>
      <w:pPr>
        <w:pStyle w:val="0"/>
        <w:ind w:left="200" w:leftChars="100"/>
        <w:rPr>
          <w:rFonts w:hint="default"/>
        </w:rPr>
      </w:pPr>
      <w:r>
        <w:rPr>
          <w:rFonts w:hint="eastAsia"/>
          <w:sz w:val="22"/>
        </w:rPr>
        <w:t>　</w:t>
      </w:r>
      <w:r>
        <w:rPr>
          <w:rFonts w:hint="eastAsia"/>
        </w:rPr>
        <w:t>法定点検の項目、周期については、以下の内容が想定されます。</w:t>
      </w:r>
    </w:p>
    <w:p>
      <w:pPr>
        <w:pStyle w:val="49"/>
        <w:ind w:leftChars="0" w:firstLineChars="0"/>
        <w:rPr>
          <w:rFonts w:hint="default"/>
          <w:sz w:val="22"/>
        </w:rPr>
      </w:pPr>
    </w:p>
    <w:p>
      <w:pPr>
        <w:pStyle w:val="33"/>
        <w:ind w:left="200" w:leftChars="100"/>
        <w:rPr>
          <w:rFonts w:hint="default" w:ascii="ＭＳ Ｐゴシック" w:hAnsi="ＭＳ Ｐゴシック" w:eastAsia="ＭＳ Ｐゴシック"/>
          <w:b w:val="0"/>
          <w:color w:val="000000" w:themeColor="text1"/>
        </w:rPr>
      </w:pPr>
      <w:bookmarkStart w:id="30" w:name="_Ref54009094"/>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8</w:t>
      </w:r>
      <w:r>
        <w:rPr>
          <w:rFonts w:hint="eastAsia"/>
        </w:rPr>
        <w:fldChar w:fldCharType="end"/>
      </w:r>
      <w:bookmarkEnd w:id="30"/>
      <w:r>
        <w:rPr>
          <w:rFonts w:hint="eastAsia" w:ascii="ＭＳ Ｐゴシック" w:hAnsi="ＭＳ Ｐゴシック" w:eastAsia="ＭＳ Ｐゴシック"/>
          <w:b w:val="0"/>
        </w:rPr>
        <w:t>(1)</w:t>
      </w:r>
      <w:r>
        <w:rPr>
          <w:rFonts w:hint="eastAsia" w:ascii="ＭＳ Ｐゴシック" w:hAnsi="ＭＳ Ｐゴシック" w:eastAsia="ＭＳ Ｐゴシック"/>
          <w:b w:val="0"/>
        </w:rPr>
        <w:t>　法定点検の項目</w:t>
      </w:r>
    </w:p>
    <w:tbl>
      <w:tblPr>
        <w:tblStyle w:val="11"/>
        <w:tblW w:w="893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134"/>
        <w:gridCol w:w="1588"/>
        <w:gridCol w:w="6208"/>
      </w:tblGrid>
      <w:tr>
        <w:trPr/>
        <w:tc>
          <w:tcPr>
            <w:tcW w:w="1134" w:type="dxa"/>
            <w:shd w:val="clear" w:color="auto" w:themeFill="background1" w:themeFillTint="FF" w:themeFillShade="D9"/>
            <w:vAlign w:val="top"/>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点検の種別</w:t>
            </w:r>
          </w:p>
        </w:tc>
        <w:tc>
          <w:tcPr>
            <w:tcW w:w="1588" w:type="dxa"/>
            <w:shd w:val="clear" w:color="auto" w:themeFill="background1" w:themeFillTint="FF" w:themeFillShade="D9"/>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点検項目</w:t>
            </w:r>
          </w:p>
        </w:tc>
        <w:tc>
          <w:tcPr>
            <w:tcW w:w="6208" w:type="dxa"/>
            <w:shd w:val="clear" w:color="auto" w:themeFill="background1" w:themeFillTint="FF" w:themeFillShade="D9"/>
            <w:vAlign w:val="top"/>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主な点検内容</w:t>
            </w:r>
          </w:p>
        </w:tc>
      </w:tr>
      <w:tr>
        <w:trPr>
          <w:trHeight w:val="1971" w:hRule="atLeast"/>
        </w:trPr>
        <w:tc>
          <w:tcPr>
            <w:tcW w:w="1134" w:type="dxa"/>
            <w:vMerge w:val="restart"/>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建築物</w:t>
            </w:r>
          </w:p>
        </w:tc>
        <w:tc>
          <w:tcPr>
            <w:tcW w:w="158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敷地および地盤</w:t>
            </w:r>
          </w:p>
        </w:tc>
        <w:tc>
          <w:tcPr>
            <w:tcW w:w="62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・建物周辺に陥没がないか、地盤沈下による傾斜などはないか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・排水管が詰っていないか、汚水が溢れたり悪臭を発するなど衛生上問題がないか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・道路までの避難通路が確保されているか、避難通路上に障害物がないか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・ブロック塀やコンクリート塀の構造に、ひび割れや傾斜が生じていないか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・擁壁などに著しい傾斜やひび割れがないか</w:t>
            </w:r>
          </w:p>
          <w:p>
            <w:pPr>
              <w:pStyle w:val="0"/>
              <w:widowControl w:val="1"/>
              <w:spacing w:line="220" w:lineRule="exact"/>
              <w:ind w:left="180" w:hanging="180" w:hangingChars="100"/>
              <w:rPr>
                <w:rFonts w:hint="default" w:ascii="ＭＳ Ｐゴシック" w:hAnsi="ＭＳ Ｐゴシック" w:eastAsia="ＭＳ Ｐゴシック"/>
                <w:sz w:val="18"/>
              </w:rPr>
            </w:pPr>
            <w:r>
              <w:rPr>
                <w:rFonts w:hint="eastAsia" w:ascii="ＭＳ Ｐゴシック" w:hAnsi="ＭＳ Ｐゴシック" w:eastAsia="ＭＳ Ｐゴシック"/>
                <w:sz w:val="18"/>
              </w:rPr>
              <w:t>・屋外機器本体（配電塔や電力等引込柱、外灯など）に、著しい錆や腐食が発生していないか</w:t>
            </w:r>
          </w:p>
        </w:tc>
      </w:tr>
      <w:tr>
        <w:trPr>
          <w:trHeight w:val="1274"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建物外部</w:t>
            </w:r>
          </w:p>
        </w:tc>
        <w:tc>
          <w:tcPr>
            <w:tcW w:w="620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・基礎部分に地盤沈下に伴うひび割れなどがないか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・外壁（躯体など）の目地モルタルに著しい欠落がないか、ブロック積みがずれたり崩れたりしていないか、鋼材に著しい錆や腐食などがないか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・外壁タイルなどに著しいひび割れや浮き、剥落などがないか</w:t>
            </w:r>
          </w:p>
          <w:p>
            <w:pPr>
              <w:pStyle w:val="0"/>
              <w:widowControl w:val="1"/>
              <w:spacing w:line="22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・窓サッシなどが腐食や緩みにより変形していないか</w:t>
            </w:r>
          </w:p>
        </w:tc>
      </w:tr>
      <w:tr>
        <w:trPr>
          <w:trHeight w:val="1550"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屋上および屋根</w:t>
            </w:r>
          </w:p>
        </w:tc>
        <w:tc>
          <w:tcPr>
            <w:tcW w:w="620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・屋上にひび割れや反りあがりがないか、歩行上の危険はないか、伸縮目地材が欠落して部分的に植物が繁茂していないか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・屋上まわりに著しいひび割れや剥落がないか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・屋根ふき材に割れがないか、緊結金物に錆など著しい腐食がないか</w:t>
            </w:r>
          </w:p>
          <w:p>
            <w:pPr>
              <w:pStyle w:val="0"/>
              <w:widowControl w:val="1"/>
              <w:spacing w:line="220" w:lineRule="exact"/>
              <w:ind w:left="180" w:hanging="180" w:hangingChars="100"/>
              <w:rPr>
                <w:rFonts w:hint="default" w:ascii="ＭＳ Ｐゴシック" w:hAnsi="ＭＳ Ｐゴシック" w:eastAsia="ＭＳ Ｐゴシック"/>
                <w:sz w:val="18"/>
              </w:rPr>
            </w:pPr>
            <w:r>
              <w:rPr>
                <w:rFonts w:hint="eastAsia" w:ascii="ＭＳ Ｐゴシック" w:hAnsi="ＭＳ Ｐゴシック" w:eastAsia="ＭＳ Ｐゴシック"/>
                <w:sz w:val="18"/>
              </w:rPr>
              <w:t>・高架水槽などの機器本体に著しく錆が発生していないか、接合部に錆が発生してぐらついていないか</w:t>
            </w:r>
          </w:p>
        </w:tc>
      </w:tr>
      <w:tr>
        <w:trPr>
          <w:trHeight w:val="1685"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建物内部</w:t>
            </w:r>
          </w:p>
        </w:tc>
        <w:tc>
          <w:tcPr>
            <w:tcW w:w="620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・内壁躯体に割れやズレ、著しい錆や腐食がないか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・床躯体に割れやズレ、著しい錆や腐食がないか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・天井の部材・仕上材に浮きなどの劣化・損傷や剥落がないか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・照明器具などに著しい錆・腐食やゆるみ、変形などがないか、地震などで落下しないか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・居室内で採光の妨げとなる物などが放置されていないか</w:t>
            </w:r>
          </w:p>
          <w:p>
            <w:pPr>
              <w:pStyle w:val="0"/>
              <w:widowControl w:val="1"/>
              <w:spacing w:line="22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・換気設備が作動しているか</w:t>
            </w:r>
          </w:p>
        </w:tc>
      </w:tr>
      <w:tr>
        <w:trPr>
          <w:trHeight w:val="1553" w:hRule="atLeast"/>
        </w:trPr>
        <w:tc>
          <w:tcPr>
            <w:tcW w:w="1134" w:type="dxa"/>
            <w:vMerge w:val="restart"/>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建築設備</w:t>
            </w:r>
          </w:p>
        </w:tc>
        <w:tc>
          <w:tcPr>
            <w:tcW w:w="158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給排水設備</w:t>
            </w:r>
          </w:p>
        </w:tc>
        <w:tc>
          <w:tcPr>
            <w:tcW w:w="620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＜給水設備＞</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・受水槽や高架水槽、加圧給水配管の設置場所が適正か、運転の異常、腐食・漏れなどはないか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＜排水設備＞</w:t>
            </w:r>
          </w:p>
          <w:p>
            <w:pPr>
              <w:pStyle w:val="0"/>
              <w:widowControl w:val="1"/>
              <w:spacing w:line="220" w:lineRule="exact"/>
              <w:ind w:left="180" w:hanging="180" w:hangingChars="100"/>
              <w:rPr>
                <w:rFonts w:hint="default" w:ascii="ＭＳ Ｐゴシック" w:hAnsi="ＭＳ Ｐゴシック" w:eastAsia="ＭＳ Ｐゴシック"/>
                <w:sz w:val="18"/>
              </w:rPr>
            </w:pPr>
            <w:r>
              <w:rPr>
                <w:rFonts w:hint="eastAsia" w:ascii="ＭＳ Ｐゴシック" w:hAnsi="ＭＳ Ｐゴシック" w:eastAsia="ＭＳ Ｐゴシック"/>
                <w:sz w:val="18"/>
              </w:rPr>
              <w:t>・汚水槽や排水管などの設置場所が適正か、運転の異常、腐食・漏れなどはないか</w:t>
            </w:r>
          </w:p>
        </w:tc>
      </w:tr>
      <w:tr>
        <w:trPr>
          <w:trHeight w:val="1250"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換気設備</w:t>
            </w:r>
          </w:p>
        </w:tc>
        <w:tc>
          <w:tcPr>
            <w:tcW w:w="620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・給排気口の設置位置や取り付け状況に問題はないか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・各室の換気状況は基準に適っているか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・空調設備に問題はないか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・換気フードなどの換気状態や運転に異常はないか</w:t>
            </w:r>
          </w:p>
          <w:p>
            <w:pPr>
              <w:pStyle w:val="0"/>
              <w:widowControl w:val="1"/>
              <w:spacing w:line="22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・防火ダンパーの作動に問題はないか</w:t>
            </w:r>
          </w:p>
        </w:tc>
      </w:tr>
      <w:tr>
        <w:trPr>
          <w:trHeight w:val="559"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非常照明設備</w:t>
            </w:r>
          </w:p>
        </w:tc>
        <w:tc>
          <w:tcPr>
            <w:tcW w:w="620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・非常用の照明器具は適切に取り付けられているか、正常に作動するか</w:t>
            </w:r>
          </w:p>
          <w:p>
            <w:pPr>
              <w:pStyle w:val="0"/>
              <w:widowControl w:val="1"/>
              <w:spacing w:line="22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・誘導灯や非常用照明の専用電気回路は確保されているか</w:t>
            </w:r>
          </w:p>
        </w:tc>
      </w:tr>
      <w:tr>
        <w:trPr>
          <w:trHeight w:val="1276" w:hRule="atLeast"/>
        </w:trPr>
        <w:tc>
          <w:tcPr>
            <w:tcW w:w="1134" w:type="dxa"/>
            <w:vMerge w:val="continue"/>
            <w:shd w:val="clear" w:color="auto" w:fill="auto"/>
            <w:vAlign w:val="center"/>
          </w:tcPr>
          <w:p>
            <w:pPr>
              <w:pStyle w:val="0"/>
              <w:widowControl w:val="1"/>
              <w:jc w:val="center"/>
              <w:rPr>
                <w:rFonts w:hint="default" w:ascii="ＭＳ Ｐゴシック" w:hAnsi="ＭＳ Ｐゴシック" w:eastAsia="ＭＳ Ｐゴシック"/>
                <w:sz w:val="18"/>
              </w:rPr>
            </w:pPr>
          </w:p>
        </w:tc>
        <w:tc>
          <w:tcPr>
            <w:tcW w:w="158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Ｐゴシック" w:hAnsi="ＭＳ Ｐゴシック" w:eastAsia="ＭＳ Ｐゴシック"/>
                <w:sz w:val="18"/>
              </w:rPr>
            </w:pPr>
            <w:r>
              <w:rPr>
                <w:rFonts w:hint="eastAsia" w:ascii="ＭＳ Ｐゴシック" w:hAnsi="ＭＳ Ｐゴシック" w:eastAsia="ＭＳ Ｐゴシック"/>
                <w:sz w:val="18"/>
              </w:rPr>
              <w:t>排煙設備</w:t>
            </w:r>
          </w:p>
        </w:tc>
        <w:tc>
          <w:tcPr>
            <w:tcW w:w="620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・排煙機の作動に問題はないか</w:t>
            </w:r>
          </w:p>
          <w:p>
            <w:pPr>
              <w:pStyle w:val="0"/>
              <w:widowControl w:val="1"/>
              <w:spacing w:line="220" w:lineRule="exact"/>
              <w:ind w:left="180" w:hanging="180" w:hangingChars="100"/>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・排煙口の位置や取り付け状況に問題はないか、排煙を妨げる障害物などはないか</w:t>
            </w:r>
          </w:p>
          <w:p>
            <w:pPr>
              <w:pStyle w:val="0"/>
              <w:widowControl w:val="1"/>
              <w:spacing w:line="220" w:lineRule="exact"/>
              <w:jc w:val="lef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・排煙風道に劣化や損傷はないか、近くに可燃物や電線がないか</w:t>
            </w:r>
          </w:p>
          <w:p>
            <w:pPr>
              <w:pStyle w:val="0"/>
              <w:widowControl w:val="1"/>
              <w:spacing w:line="220" w:lineRule="exact"/>
              <w:rPr>
                <w:rFonts w:hint="default" w:ascii="ＭＳ Ｐゴシック" w:hAnsi="ＭＳ Ｐゴシック" w:eastAsia="ＭＳ Ｐゴシック"/>
                <w:sz w:val="18"/>
              </w:rPr>
            </w:pPr>
            <w:r>
              <w:rPr>
                <w:rFonts w:hint="eastAsia" w:ascii="ＭＳ Ｐゴシック" w:hAnsi="ＭＳ Ｐゴシック" w:eastAsia="ＭＳ Ｐゴシック"/>
                <w:sz w:val="18"/>
              </w:rPr>
              <w:t>・排気風量は十分か</w:t>
            </w:r>
          </w:p>
        </w:tc>
      </w:tr>
    </w:tbl>
    <w:p>
      <w:pPr>
        <w:pStyle w:val="49"/>
        <w:ind w:leftChars="0" w:firstLineChars="0"/>
        <w:rPr>
          <w:rFonts w:hint="default"/>
        </w:rPr>
      </w:pPr>
    </w:p>
    <w:p>
      <w:pPr>
        <w:pStyle w:val="0"/>
        <w:widowControl w:val="1"/>
        <w:jc w:val="left"/>
        <w:rPr>
          <w:rFonts w:hint="default"/>
        </w:rPr>
      </w:pPr>
      <w:r>
        <w:rPr>
          <w:rFonts w:hint="default"/>
        </w:rPr>
        <w:br w:type="page"/>
      </w:r>
    </w:p>
    <w:p>
      <w:pPr>
        <w:pStyle w:val="49"/>
        <w:ind w:leftChars="0" w:firstLineChars="0"/>
        <w:rPr>
          <w:rFonts w:hint="default"/>
        </w:rPr>
      </w:pPr>
    </w:p>
    <w:p>
      <w:pPr>
        <w:pStyle w:val="33"/>
        <w:ind w:left="200" w:leftChars="100"/>
        <w:rPr>
          <w:rFonts w:hint="default" w:ascii="ＭＳ Ｐゴシック" w:hAnsi="ＭＳ Ｐゴシック" w:eastAsia="ＭＳ Ｐゴシック"/>
          <w:b w:val="0"/>
          <w:color w:val="000000" w:themeColor="text1"/>
        </w:rPr>
      </w:pPr>
      <w:r>
        <w:rPr>
          <w:rFonts w:hint="eastAsia"/>
        </w:rPr>
        <w:fldChar w:fldCharType="begin"/>
      </w:r>
      <w:r>
        <w:rPr>
          <w:rFonts w:hint="default" w:ascii="ＭＳ Ｐゴシック" w:hAnsi="ＭＳ Ｐゴシック" w:eastAsia="ＭＳ Ｐゴシック"/>
          <w:b w:val="0"/>
        </w:rPr>
        <w:instrText xml:space="preserve"> </w:instrText>
      </w:r>
      <w:r>
        <w:rPr>
          <w:rFonts w:hint="eastAsia" w:ascii="ＭＳ Ｐゴシック" w:hAnsi="ＭＳ Ｐゴシック" w:eastAsia="ＭＳ Ｐゴシック"/>
          <w:b w:val="0"/>
        </w:rPr>
        <w:instrText>REF _Ref54009094 \h</w:instrText>
      </w:r>
      <w:r>
        <w:rPr>
          <w:rFonts w:hint="default" w:ascii="ＭＳ Ｐゴシック" w:hAnsi="ＭＳ Ｐゴシック" w:eastAsia="ＭＳ Ｐゴシック"/>
          <w:b w:val="0"/>
        </w:rPr>
        <w:instrText xml:space="preserve"> </w:instrText>
      </w:r>
      <w:r>
        <w:rPr>
          <w:rFonts w:hint="eastAsia"/>
        </w:rPr>
        <w:fldChar w:fldCharType="separate"/>
      </w:r>
      <w:r>
        <w:rPr>
          <w:rFonts w:hint="default" w:ascii="ＭＳ Ｐゴシック" w:hAnsi="ＭＳ Ｐゴシック" w:eastAsia="ＭＳ Ｐゴシック"/>
          <w:b w:val="0"/>
        </w:rPr>
        <w:t>表</w:t>
      </w:r>
      <w:r>
        <w:rPr>
          <w:rFonts w:hint="default" w:ascii="ＭＳ Ｐゴシック" w:hAnsi="ＭＳ Ｐゴシック" w:eastAsia="ＭＳ Ｐゴシック"/>
          <w:b w:val="0"/>
        </w:rPr>
        <w:t>8</w:t>
      </w:r>
      <w:r>
        <w:rPr>
          <w:rFonts w:hint="eastAsia"/>
        </w:rPr>
        <w:fldChar w:fldCharType="end"/>
      </w:r>
      <w:r>
        <w:rPr>
          <w:rFonts w:hint="eastAsia" w:ascii="ＭＳ Ｐゴシック" w:hAnsi="ＭＳ Ｐゴシック" w:eastAsia="ＭＳ Ｐゴシック"/>
          <w:b w:val="0"/>
        </w:rPr>
        <w:t>（</w:t>
      </w:r>
      <w:r>
        <w:rPr>
          <w:rFonts w:hint="eastAsia" w:ascii="ＭＳ Ｐゴシック" w:hAnsi="ＭＳ Ｐゴシック" w:eastAsia="ＭＳ Ｐゴシック"/>
          <w:b w:val="0"/>
        </w:rPr>
        <w:t>2</w:t>
      </w:r>
      <w:r>
        <w:rPr>
          <w:rFonts w:hint="eastAsia" w:ascii="ＭＳ Ｐゴシック" w:hAnsi="ＭＳ Ｐゴシック" w:eastAsia="ＭＳ Ｐゴシック"/>
          <w:b w:val="0"/>
        </w:rPr>
        <w:t>）　法定点検の項目</w:t>
      </w:r>
    </w:p>
    <w:tbl>
      <w:tblPr>
        <w:tblStyle w:val="11"/>
        <w:tblW w:w="892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134"/>
        <w:gridCol w:w="1579"/>
        <w:gridCol w:w="6215"/>
      </w:tblGrid>
      <w:tr>
        <w:trPr/>
        <w:tc>
          <w:tcPr>
            <w:tcW w:w="1134" w:type="dxa"/>
            <w:shd w:val="clear" w:color="auto" w:themeFill="background1" w:themeFillTint="FF" w:themeFillShade="D9"/>
            <w:vAlign w:val="top"/>
          </w:tcPr>
          <w:p>
            <w:pPr>
              <w:pStyle w:val="0"/>
              <w:widowControl w:val="1"/>
              <w:jc w:val="center"/>
              <w:rPr>
                <w:rFonts w:hint="default" w:ascii="ＭＳ ゴシック" w:hAnsi="ＭＳ ゴシック" w:eastAsia="ＭＳ ゴシック"/>
                <w:sz w:val="18"/>
              </w:rPr>
            </w:pPr>
            <w:r>
              <w:rPr>
                <w:rFonts w:hint="eastAsia" w:ascii="ＭＳ ゴシック" w:hAnsi="ＭＳ ゴシック" w:eastAsia="ＭＳ ゴシック"/>
                <w:sz w:val="18"/>
              </w:rPr>
              <w:t>点検の種別</w:t>
            </w:r>
          </w:p>
        </w:tc>
        <w:tc>
          <w:tcPr>
            <w:tcW w:w="1579" w:type="dxa"/>
            <w:shd w:val="clear" w:color="auto" w:themeFill="background1" w:themeFillTint="FF" w:themeFillShade="D9"/>
            <w:vAlign w:val="top"/>
          </w:tcPr>
          <w:p>
            <w:pPr>
              <w:pStyle w:val="0"/>
              <w:widowControl w:val="1"/>
              <w:jc w:val="center"/>
              <w:rPr>
                <w:rFonts w:hint="default" w:ascii="ＭＳ ゴシック" w:hAnsi="ＭＳ ゴシック" w:eastAsia="ＭＳ ゴシック"/>
                <w:sz w:val="18"/>
              </w:rPr>
            </w:pPr>
            <w:r>
              <w:rPr>
                <w:rFonts w:hint="eastAsia" w:ascii="ＭＳ ゴシック" w:hAnsi="ＭＳ ゴシック" w:eastAsia="ＭＳ ゴシック"/>
                <w:sz w:val="18"/>
              </w:rPr>
              <w:t>点検項目</w:t>
            </w:r>
          </w:p>
        </w:tc>
        <w:tc>
          <w:tcPr>
            <w:tcW w:w="6215" w:type="dxa"/>
            <w:shd w:val="clear" w:color="auto" w:themeFill="background1" w:themeFillTint="FF" w:themeFillShade="D9"/>
            <w:vAlign w:val="top"/>
          </w:tcPr>
          <w:p>
            <w:pPr>
              <w:pStyle w:val="0"/>
              <w:widowControl w:val="1"/>
              <w:jc w:val="center"/>
              <w:rPr>
                <w:rFonts w:hint="default" w:ascii="ＭＳ ゴシック" w:hAnsi="ＭＳ ゴシック" w:eastAsia="ＭＳ ゴシック"/>
                <w:sz w:val="18"/>
              </w:rPr>
            </w:pPr>
            <w:r>
              <w:rPr>
                <w:rFonts w:hint="eastAsia" w:ascii="ＭＳ ゴシック" w:hAnsi="ＭＳ ゴシック" w:eastAsia="ＭＳ ゴシック"/>
                <w:sz w:val="18"/>
              </w:rPr>
              <w:t>主な点検内容</w:t>
            </w:r>
          </w:p>
        </w:tc>
      </w:tr>
      <w:tr>
        <w:trPr>
          <w:trHeight w:val="1025" w:hRule="atLeast"/>
        </w:trPr>
        <w:tc>
          <w:tcPr>
            <w:tcW w:w="1134" w:type="dxa"/>
            <w:vMerge w:val="restart"/>
            <w:shd w:val="clear" w:color="auto" w:fill="auto"/>
            <w:vAlign w:val="center"/>
          </w:tcPr>
          <w:p>
            <w:pPr>
              <w:pStyle w:val="0"/>
              <w:widowControl w:val="1"/>
              <w:jc w:val="center"/>
              <w:rPr>
                <w:rFonts w:hint="default" w:ascii="ＭＳ ゴシック" w:hAnsi="ＭＳ ゴシック" w:eastAsia="ＭＳ ゴシック"/>
                <w:sz w:val="18"/>
              </w:rPr>
            </w:pPr>
            <w:r>
              <w:rPr>
                <w:rFonts w:hint="eastAsia" w:ascii="ＭＳ ゴシック" w:hAnsi="ＭＳ ゴシック" w:eastAsia="ＭＳ ゴシック"/>
                <w:sz w:val="18"/>
              </w:rPr>
              <w:t>防火設備</w:t>
            </w:r>
          </w:p>
        </w:tc>
        <w:tc>
          <w:tcPr>
            <w:tcW w:w="157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ゴシック" w:hAnsi="ＭＳ ゴシック" w:eastAsia="ＭＳ ゴシック"/>
                <w:sz w:val="18"/>
              </w:rPr>
            </w:pPr>
            <w:r>
              <w:rPr>
                <w:rFonts w:hint="eastAsia" w:ascii="ＭＳ ゴシック" w:hAnsi="ＭＳ ゴシック" w:eastAsia="ＭＳ ゴシック"/>
                <w:sz w:val="18"/>
              </w:rPr>
              <w:t>防火扉</w:t>
            </w:r>
          </w:p>
        </w:tc>
        <w:tc>
          <w:tcPr>
            <w:tcW w:w="621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・防火扉周辺に障害となる物が放置されていないか</w:t>
            </w:r>
          </w:p>
          <w:p>
            <w:pPr>
              <w:pStyle w:val="0"/>
              <w:widowControl w:val="1"/>
              <w:spacing w:line="220" w:lineRule="exact"/>
              <w:ind w:left="180" w:hanging="180" w:hangingChars="100"/>
              <w:jc w:val="left"/>
              <w:rPr>
                <w:rFonts w:hint="default" w:ascii="ＭＳ ゴシック" w:hAnsi="ＭＳ ゴシック" w:eastAsia="ＭＳ ゴシック"/>
                <w:sz w:val="18"/>
              </w:rPr>
            </w:pPr>
            <w:r>
              <w:rPr>
                <w:rFonts w:hint="eastAsia" w:ascii="ＭＳ ゴシック" w:hAnsi="ＭＳ ゴシック" w:eastAsia="ＭＳ ゴシック"/>
                <w:sz w:val="18"/>
              </w:rPr>
              <w:t>・扉の取り付け状況は問題ないか、劣化や損傷はないか、正常に動くか</w:t>
            </w:r>
          </w:p>
          <w:p>
            <w:pPr>
              <w:pStyle w:val="0"/>
              <w:widowControl w:val="1"/>
              <w:spacing w:line="220" w:lineRule="exact"/>
              <w:ind w:left="18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・危険防止装置は正しく作動するか、閉鎖スピードや閉まる時の力に問題はないか</w:t>
            </w:r>
          </w:p>
        </w:tc>
      </w:tr>
      <w:tr>
        <w:trPr>
          <w:trHeight w:val="1266" w:hRule="atLeast"/>
        </w:trPr>
        <w:tc>
          <w:tcPr>
            <w:tcW w:w="1134" w:type="dxa"/>
            <w:vMerge w:val="continue"/>
            <w:shd w:val="clear" w:color="auto" w:fill="auto"/>
            <w:vAlign w:val="center"/>
          </w:tcPr>
          <w:p>
            <w:pPr>
              <w:pStyle w:val="0"/>
              <w:widowControl w:val="1"/>
              <w:jc w:val="center"/>
              <w:rPr>
                <w:rFonts w:hint="default" w:ascii="ＭＳ ゴシック" w:hAnsi="ＭＳ ゴシック" w:eastAsia="ＭＳ ゴシック"/>
                <w:sz w:val="18"/>
              </w:rPr>
            </w:pPr>
          </w:p>
        </w:tc>
        <w:tc>
          <w:tcPr>
            <w:tcW w:w="157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rPr>
                <w:rFonts w:hint="default" w:ascii="ＭＳ ゴシック" w:hAnsi="ＭＳ ゴシック" w:eastAsia="ＭＳ ゴシック"/>
                <w:sz w:val="18"/>
              </w:rPr>
            </w:pPr>
            <w:r>
              <w:rPr>
                <w:rFonts w:hint="eastAsia" w:ascii="ＭＳ ゴシック" w:hAnsi="ＭＳ ゴシック" w:eastAsia="ＭＳ ゴシック"/>
                <w:sz w:val="18"/>
              </w:rPr>
              <w:t>防火シャッター</w:t>
            </w:r>
          </w:p>
        </w:tc>
        <w:tc>
          <w:tcPr>
            <w:tcW w:w="6215"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・シャッター周辺に障害となる物が放置されていないか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・駆動装置に問題はないか、各部品に劣化や損傷はないか</w:t>
            </w:r>
          </w:p>
          <w:p>
            <w:pPr>
              <w:pStyle w:val="0"/>
              <w:widowControl w:val="1"/>
              <w:spacing w:line="220" w:lineRule="exact"/>
              <w:ind w:left="180" w:hanging="180" w:hangingChars="100"/>
              <w:jc w:val="left"/>
              <w:rPr>
                <w:rFonts w:hint="default" w:ascii="ＭＳ ゴシック" w:hAnsi="ＭＳ ゴシック" w:eastAsia="ＭＳ ゴシック"/>
                <w:sz w:val="18"/>
              </w:rPr>
            </w:pPr>
            <w:r>
              <w:rPr>
                <w:rFonts w:hint="eastAsia" w:ascii="ＭＳ ゴシック" w:hAnsi="ＭＳ ゴシック" w:eastAsia="ＭＳ ゴシック"/>
                <w:sz w:val="18"/>
              </w:rPr>
              <w:t>・危険防止装置の連動中継機の配線に問題はないか、予備電源には劣化、損傷や容量不足がないか</w:t>
            </w:r>
          </w:p>
          <w:p>
            <w:pPr>
              <w:pStyle w:val="0"/>
              <w:widowControl w:val="1"/>
              <w:spacing w:line="220" w:lineRule="exact"/>
              <w:ind w:left="180" w:hanging="180" w:hangingChars="100"/>
              <w:rPr>
                <w:rFonts w:hint="default" w:ascii="ＭＳ ゴシック" w:hAnsi="ＭＳ ゴシック" w:eastAsia="ＭＳ ゴシック"/>
                <w:sz w:val="18"/>
              </w:rPr>
            </w:pPr>
            <w:r>
              <w:rPr>
                <w:rFonts w:hint="eastAsia" w:ascii="ＭＳ ゴシック" w:hAnsi="ＭＳ ゴシック" w:eastAsia="ＭＳ ゴシック"/>
                <w:sz w:val="18"/>
              </w:rPr>
              <w:t>・煙感知器や熱感知器の設置位置に問題はないか、正常に作動するか</w:t>
            </w:r>
          </w:p>
        </w:tc>
      </w:tr>
      <w:tr>
        <w:trPr>
          <w:trHeight w:val="1694" w:hRule="atLeast"/>
        </w:trPr>
        <w:tc>
          <w:tcPr>
            <w:tcW w:w="1134" w:type="dxa"/>
            <w:shd w:val="clear" w:color="auto" w:fill="auto"/>
            <w:vAlign w:val="center"/>
          </w:tcPr>
          <w:p>
            <w:pPr>
              <w:pStyle w:val="0"/>
              <w:widowControl w:val="1"/>
              <w:jc w:val="center"/>
              <w:rPr>
                <w:rFonts w:hint="default" w:ascii="ＭＳ ゴシック" w:hAnsi="ＭＳ ゴシック" w:eastAsia="ＭＳ ゴシック"/>
                <w:sz w:val="18"/>
              </w:rPr>
            </w:pPr>
            <w:r>
              <w:rPr>
                <w:rFonts w:hint="eastAsia" w:ascii="ＭＳ ゴシック" w:hAnsi="ＭＳ ゴシック" w:eastAsia="ＭＳ ゴシック"/>
                <w:sz w:val="18"/>
              </w:rPr>
              <w:t>昇降機</w:t>
            </w:r>
          </w:p>
        </w:tc>
        <w:tc>
          <w:tcPr>
            <w:tcW w:w="1579" w:type="dxa"/>
            <w:shd w:val="clear" w:color="auto" w:fill="auto"/>
            <w:vAlign w:val="center"/>
          </w:tcPr>
          <w:p>
            <w:pPr>
              <w:pStyle w:val="0"/>
              <w:widowControl w:val="1"/>
              <w:rPr>
                <w:rFonts w:hint="default" w:ascii="ＭＳ ゴシック" w:hAnsi="ＭＳ ゴシック" w:eastAsia="ＭＳ ゴシック"/>
                <w:sz w:val="18"/>
              </w:rPr>
            </w:pPr>
            <w:r>
              <w:rPr>
                <w:rFonts w:hint="eastAsia" w:ascii="ＭＳ ゴシック" w:hAnsi="ＭＳ ゴシック" w:eastAsia="ＭＳ ゴシック"/>
                <w:sz w:val="18"/>
              </w:rPr>
              <w:t>エレベーター</w:t>
            </w:r>
          </w:p>
        </w:tc>
        <w:tc>
          <w:tcPr>
            <w:tcW w:w="6215" w:type="dxa"/>
            <w:shd w:val="clear" w:color="auto" w:fill="auto"/>
            <w:vAlign w:val="center"/>
          </w:tcPr>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・機械室の通路、階段、戸の施錠、室内などに問題がないか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・制御器は正常に作動するか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・階床選択機、巻上げ機、ブレーキなどは正常に作動するか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・電動発電機に異常はないか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・速度は適切か</w:t>
            </w:r>
          </w:p>
          <w:p>
            <w:pPr>
              <w:pStyle w:val="0"/>
              <w:widowControl w:val="1"/>
              <w:spacing w:line="220" w:lineRule="exact"/>
              <w:jc w:val="left"/>
              <w:rPr>
                <w:rFonts w:hint="default" w:ascii="ＭＳ ゴシック" w:hAnsi="ＭＳ ゴシック" w:eastAsia="ＭＳ ゴシック"/>
                <w:sz w:val="18"/>
              </w:rPr>
            </w:pPr>
            <w:r>
              <w:rPr>
                <w:rFonts w:hint="eastAsia" w:ascii="ＭＳ ゴシック" w:hAnsi="ＭＳ ゴシック" w:eastAsia="ＭＳ ゴシック"/>
                <w:sz w:val="18"/>
              </w:rPr>
              <w:t>・降下防止装置の設置や作動に問題はないか</w:t>
            </w:r>
          </w:p>
          <w:p>
            <w:pPr>
              <w:pStyle w:val="0"/>
              <w:widowControl w:val="1"/>
              <w:spacing w:line="220" w:lineRule="exact"/>
              <w:rPr>
                <w:rFonts w:hint="default" w:ascii="ＭＳ ゴシック" w:hAnsi="ＭＳ ゴシック" w:eastAsia="ＭＳ ゴシック"/>
                <w:sz w:val="18"/>
              </w:rPr>
            </w:pPr>
            <w:r>
              <w:rPr>
                <w:rFonts w:hint="eastAsia" w:ascii="ＭＳ ゴシック" w:hAnsi="ＭＳ ゴシック" w:eastAsia="ＭＳ ゴシック"/>
                <w:sz w:val="18"/>
              </w:rPr>
              <w:t>・かごの設置、構造、ドア、操作盤、操縦機などに問題はないか</w:t>
            </w:r>
          </w:p>
        </w:tc>
      </w:tr>
    </w:tbl>
    <w:p>
      <w:pPr>
        <w:pStyle w:val="49"/>
        <w:ind w:leftChars="0" w:firstLineChars="0"/>
        <w:rPr>
          <w:rFonts w:hint="default"/>
        </w:rPr>
      </w:pPr>
    </w:p>
    <w:p>
      <w:pPr>
        <w:pStyle w:val="49"/>
        <w:ind w:leftChars="0" w:firstLineChars="0"/>
        <w:rPr>
          <w:rFonts w:hint="default"/>
        </w:rPr>
      </w:pPr>
    </w:p>
    <w:p>
      <w:pPr>
        <w:pStyle w:val="33"/>
        <w:ind w:left="200" w:leftChars="100"/>
        <w:rPr>
          <w:rFonts w:hint="default"/>
          <w:sz w:val="22"/>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9</w:t>
      </w:r>
      <w:r>
        <w:rPr>
          <w:rFonts w:hint="eastAsia"/>
        </w:rPr>
        <w:fldChar w:fldCharType="end"/>
      </w:r>
      <w:r>
        <w:rPr>
          <w:rFonts w:hint="eastAsia" w:ascii="ＭＳ Ｐゴシック" w:hAnsi="ＭＳ Ｐゴシック" w:eastAsia="ＭＳ Ｐゴシック"/>
          <w:b w:val="0"/>
        </w:rPr>
        <w:t>　法定点検の周期</w:t>
      </w:r>
    </w:p>
    <w:tbl>
      <w:tblPr>
        <w:tblStyle w:val="11"/>
        <w:tblW w:w="895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3998"/>
        <w:gridCol w:w="4961"/>
      </w:tblGrid>
      <w:tr>
        <w:trPr/>
        <w:tc>
          <w:tcPr>
            <w:tcW w:w="3998" w:type="dxa"/>
            <w:shd w:val="clear" w:color="auto" w:themeFill="background1" w:themeFillTint="FF" w:themeFillShade="D9"/>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点検の種別</w:t>
            </w:r>
          </w:p>
        </w:tc>
        <w:tc>
          <w:tcPr>
            <w:tcW w:w="4961" w:type="dxa"/>
            <w:shd w:val="clear" w:color="auto" w:themeFill="background1" w:themeFillTint="FF" w:themeFillShade="D9"/>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点検周期</w:t>
            </w:r>
          </w:p>
        </w:tc>
      </w:tr>
      <w:tr>
        <w:trPr/>
        <w:tc>
          <w:tcPr>
            <w:tcW w:w="3998" w:type="dxa"/>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建築物</w:t>
            </w:r>
          </w:p>
        </w:tc>
        <w:tc>
          <w:tcPr>
            <w:tcW w:w="4961" w:type="dxa"/>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r>
              <w:rPr>
                <w:rFonts w:hint="eastAsia" w:ascii="ＭＳ Ｐゴシック" w:hAnsi="ＭＳ Ｐゴシック" w:eastAsia="ＭＳ Ｐゴシック"/>
                <w:sz w:val="18"/>
              </w:rPr>
              <w:t>年</w:t>
            </w:r>
          </w:p>
        </w:tc>
      </w:tr>
      <w:tr>
        <w:trPr/>
        <w:tc>
          <w:tcPr>
            <w:tcW w:w="3998" w:type="dxa"/>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建築設備・防火設備・昇降設備・消防設備</w:t>
            </w:r>
          </w:p>
        </w:tc>
        <w:tc>
          <w:tcPr>
            <w:tcW w:w="4961" w:type="dxa"/>
            <w:shd w:val="clear" w:color="auto" w:fill="auto"/>
            <w:vAlign w:val="center"/>
          </w:tcPr>
          <w:p>
            <w:pPr>
              <w:pStyle w:val="0"/>
              <w:widowControl w:val="1"/>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概ね</w:t>
            </w:r>
            <w:r>
              <w:rPr>
                <w:rFonts w:hint="eastAsia" w:ascii="ＭＳ Ｐゴシック" w:hAnsi="ＭＳ Ｐゴシック" w:eastAsia="ＭＳ Ｐゴシック"/>
                <w:sz w:val="18"/>
              </w:rPr>
              <w:t>6</w:t>
            </w:r>
            <w:r>
              <w:rPr>
                <w:rFonts w:hint="eastAsia" w:ascii="ＭＳ Ｐゴシック" w:hAnsi="ＭＳ Ｐゴシック" w:eastAsia="ＭＳ Ｐゴシック"/>
                <w:sz w:val="18"/>
              </w:rPr>
              <w:t>ヶ月～</w:t>
            </w:r>
            <w:r>
              <w:rPr>
                <w:rFonts w:hint="eastAsia" w:ascii="ＭＳ Ｐゴシック" w:hAnsi="ＭＳ Ｐゴシック" w:eastAsia="ＭＳ Ｐゴシック"/>
                <w:sz w:val="18"/>
              </w:rPr>
              <w:t>1</w:t>
            </w:r>
            <w:r>
              <w:rPr>
                <w:rFonts w:hint="eastAsia" w:ascii="ＭＳ Ｐゴシック" w:hAnsi="ＭＳ Ｐゴシック" w:eastAsia="ＭＳ Ｐゴシック"/>
                <w:sz w:val="18"/>
              </w:rPr>
              <w:t>年</w:t>
            </w:r>
          </w:p>
        </w:tc>
      </w:tr>
    </w:tbl>
    <w:p>
      <w:pPr>
        <w:pStyle w:val="49"/>
        <w:ind w:leftChars="0" w:firstLineChars="0"/>
        <w:rPr>
          <w:rFonts w:hint="default"/>
          <w:sz w:val="22"/>
        </w:rPr>
      </w:pPr>
    </w:p>
    <w:p>
      <w:pPr>
        <w:pStyle w:val="49"/>
        <w:ind w:leftChars="0" w:firstLineChars="0"/>
        <w:rPr>
          <w:rFonts w:hint="default"/>
          <w:sz w:val="22"/>
        </w:rPr>
      </w:pPr>
    </w:p>
    <w:p>
      <w:pPr>
        <w:pStyle w:val="0"/>
        <w:widowControl w:val="1"/>
        <w:jc w:val="left"/>
        <w:rPr>
          <w:rFonts w:hint="default"/>
          <w:sz w:val="22"/>
        </w:rPr>
      </w:pPr>
      <w:r>
        <w:rPr>
          <w:rFonts w:hint="default"/>
          <w:sz w:val="22"/>
        </w:rPr>
        <w:br w:type="page"/>
      </w:r>
    </w:p>
    <w:p>
      <w:pPr>
        <w:pStyle w:val="1"/>
        <w:rPr>
          <w:rFonts w:hint="default"/>
        </w:rPr>
      </w:pPr>
      <w:r>
        <w:rPr>
          <w:rFonts w:hint="eastAsia"/>
        </w:rPr>
        <w:t>　</w:t>
      </w:r>
      <w:bookmarkStart w:id="31" w:name="_Toc73347194"/>
      <w:r>
        <w:rPr>
          <w:rFonts w:hint="eastAsia"/>
        </w:rPr>
        <w:t>長寿命化の実施計画</w:t>
      </w:r>
      <w:bookmarkEnd w:id="31"/>
    </w:p>
    <w:p>
      <w:pPr>
        <w:pStyle w:val="0"/>
        <w:rPr>
          <w:rFonts w:hint="default"/>
        </w:rPr>
      </w:pPr>
    </w:p>
    <w:p>
      <w:pPr>
        <w:pStyle w:val="0"/>
        <w:rPr>
          <w:rFonts w:hint="default"/>
        </w:rPr>
      </w:pPr>
      <w:r>
        <w:rPr>
          <w:rFonts w:hint="eastAsia"/>
        </w:rPr>
        <w:t>　従来型の建替え中心の更新から、長寿命化へシフトする中、今後想定されるコストの試算を次のステップで行い、従来型のコストと比較することで長寿命化の実効性を検証します。</w:t>
      </w:r>
    </w:p>
    <w:p>
      <w:pPr>
        <w:pStyle w:val="0"/>
        <w:rPr>
          <w:rFonts w:hint="default"/>
        </w:rPr>
      </w:pPr>
    </w:p>
    <w:p>
      <w:pPr>
        <w:pStyle w:val="0"/>
        <w:rPr>
          <w:rFonts w:hint="default"/>
        </w:rPr>
      </w:pPr>
      <w:r>
        <w:rPr>
          <w:rFonts w:hint="default"/>
        </w:rPr>
        <mc:AlternateContent>
          <mc:Choice Requires="wps">
            <w:drawing>
              <wp:anchor distT="0" distB="0" distL="114300" distR="114300" simplePos="0" relativeHeight="43" behindDoc="0" locked="0" layoutInCell="1" hidden="0" allowOverlap="1">
                <wp:simplePos x="0" y="0"/>
                <wp:positionH relativeFrom="column">
                  <wp:posOffset>3663950</wp:posOffset>
                </wp:positionH>
                <wp:positionV relativeFrom="paragraph">
                  <wp:posOffset>119380</wp:posOffset>
                </wp:positionV>
                <wp:extent cx="2023110" cy="619125"/>
                <wp:effectExtent l="137160" t="121920" r="125730" b="158115"/>
                <wp:wrapNone/>
                <wp:docPr id="1064" name="矢印: 五方向 254"/>
                <a:graphic xmlns:a="http://schemas.openxmlformats.org/drawingml/2006/main">
                  <a:graphicData uri="http://schemas.microsoft.com/office/word/2010/wordprocessingShape">
                    <wps:wsp>
                      <wps:cNvPr id="1064" name="矢印: 五方向 254"/>
                      <wps:cNvSpPr/>
                      <wps:spPr>
                        <a:xfrm>
                          <a:off x="0" y="0"/>
                          <a:ext cx="2023110" cy="619125"/>
                        </a:xfrm>
                        <a:prstGeom prst="homePlate">
                          <a:avLst>
                            <a:gd name="adj" fmla="val 66667"/>
                          </a:avLst>
                        </a:prstGeom>
                        <a:solidFill>
                          <a:srgbClr val="FFCCFF"/>
                        </a:solidFill>
                        <a:ln w="25400" cap="flat" cmpd="sng" algn="ctr">
                          <a:noFill/>
                          <a:prstDash val="solid"/>
                        </a:ln>
                        <a:effectLst>
                          <a:outerShdw blurRad="107950" dist="12700" dir="5400000" algn="ctr">
                            <a:srgbClr val="000000"/>
                          </a:outerShdw>
                        </a:effectLst>
                        <a:scene3d>
                          <a:camera prst="orthographicFront"/>
                          <a:lightRig rig="soft" dir="t"/>
                        </a:scene3d>
                        <a:sp3d contourW="44450" prstMaterial="matte">
                          <a:bevelT w="63500" h="63500" prst="artDeco"/>
                          <a:contourClr>
                            <a:srgbClr val="FFFFFF"/>
                          </a:contourClr>
                        </a:sp3d>
                      </wps:spPr>
                      <wps:txbx>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w:t>
                            </w:r>
                            <w:r>
                              <w:rPr>
                                <w:rFonts w:hint="default" w:ascii="HGP創英角ｺﾞｼｯｸUB" w:hAnsi="HGP創英角ｺﾞｼｯｸUB" w:eastAsia="HGP創英角ｺﾞｼｯｸUB"/>
                                <w:color w:val="000000"/>
                              </w:rPr>
                              <w:t>3</w:t>
                            </w:r>
                          </w:p>
                          <w:p>
                            <w:pPr>
                              <w:pStyle w:val="0"/>
                              <w:spacing w:line="240" w:lineRule="exact"/>
                              <w:jc w:val="left"/>
                              <w:rPr>
                                <w:rFonts w:hint="default" w:ascii="HGP創英角ｺﾞｼｯｸUB" w:hAnsi="HGP創英角ｺﾞｼｯｸUB" w:eastAsia="HGP創英角ｺﾞｼｯｸUB"/>
                                <w:color w:val="000000"/>
                                <w:sz w:val="18"/>
                                <w:u w:val="single" w:color="auto"/>
                              </w:rPr>
                            </w:pPr>
                            <w:r>
                              <w:rPr>
                                <w:rFonts w:hint="eastAsia" w:ascii="HGP創英角ｺﾞｼｯｸUB" w:hAnsi="HGP創英角ｺﾞｼｯｸUB" w:eastAsia="HGP創英角ｺﾞｼｯｸUB"/>
                                <w:color w:val="000000"/>
                                <w:sz w:val="18"/>
                                <w:u w:val="single" w:color="auto"/>
                              </w:rPr>
                              <w:t>改修履歴を考慮した</w:t>
                            </w:r>
                            <w:r>
                              <w:rPr>
                                <w:rFonts w:hint="default" w:ascii="HGP創英角ｺﾞｼｯｸUB" w:hAnsi="HGP創英角ｺﾞｼｯｸUB" w:eastAsia="HGP創英角ｺﾞｼｯｸUB"/>
                                <w:color w:val="000000"/>
                                <w:sz w:val="18"/>
                                <w:u w:val="single" w:color="auto"/>
                              </w:rPr>
                              <w:t>長寿命化型</w:t>
                            </w:r>
                            <w:r>
                              <w:rPr>
                                <w:rFonts w:hint="eastAsia" w:ascii="HGP創英角ｺﾞｼｯｸUB" w:hAnsi="HGP創英角ｺﾞｼｯｸUB" w:eastAsia="HGP創英角ｺﾞｼｯｸUB"/>
                                <w:color w:val="000000"/>
                                <w:sz w:val="18"/>
                                <w:u w:val="single" w:color="auto"/>
                              </w:rPr>
                              <w:t>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ステップ２</w:t>
                            </w:r>
                            <w:r>
                              <w:rPr>
                                <w:rFonts w:hint="default" w:ascii="HGP創英角ｺﾞｼｯｸUB" w:hAnsi="HGP創英角ｺﾞｼｯｸUB" w:eastAsia="HGP創英角ｺﾞｼｯｸUB"/>
                                <w:color w:val="000000"/>
                                <w:sz w:val="14"/>
                              </w:rPr>
                              <w:t>試算結果の</w:t>
                            </w:r>
                            <w:r>
                              <w:rPr>
                                <w:rFonts w:hint="eastAsia" w:ascii="HGP創英角ｺﾞｼｯｸUB" w:hAnsi="HGP創英角ｺﾞｼｯｸUB" w:eastAsia="HGP創英角ｺﾞｼｯｸUB"/>
                                <w:color w:val="000000"/>
                                <w:sz w:val="14"/>
                              </w:rPr>
                              <w:t>改良</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54" style="mso-position-vertical-relative:text;z-index:43;mso-wrap-distance-left:9pt;width:159.30000000000001pt;height:48.75pt;mso-position-horizontal-relative:text;position:absolute;margin-left:288.5pt;margin-top:9.4pt;mso-wrap-distance-bottom:0pt;mso-wrap-distance-right:9pt;mso-wrap-distance-top:0pt;v-text-anchor:middle;" o:spid="_x0000_s1064" o:allowincell="t" o:allowoverlap="t" filled="t" fillcolor="#ffccff" stroked="f" strokeweight="2pt" o:spt="15" type="#_x0000_t15" adj="7200">
                <v:fill/>
                <v:stroke linestyle="single" endcap="flat" dashstyle="solid"/>
                <v:shadow on="t" color="#000000" offset="0pt,1pt" matrix="65536f,,,65536f,,"/>
                <v:textbox style="layout-flow:horizontal;">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w:t>
                      </w:r>
                      <w:r>
                        <w:rPr>
                          <w:rFonts w:hint="default" w:ascii="HGP創英角ｺﾞｼｯｸUB" w:hAnsi="HGP創英角ｺﾞｼｯｸUB" w:eastAsia="HGP創英角ｺﾞｼｯｸUB"/>
                          <w:color w:val="000000"/>
                        </w:rPr>
                        <w:t>3</w:t>
                      </w:r>
                    </w:p>
                    <w:p>
                      <w:pPr>
                        <w:pStyle w:val="0"/>
                        <w:spacing w:line="240" w:lineRule="exact"/>
                        <w:jc w:val="left"/>
                        <w:rPr>
                          <w:rFonts w:hint="default" w:ascii="HGP創英角ｺﾞｼｯｸUB" w:hAnsi="HGP創英角ｺﾞｼｯｸUB" w:eastAsia="HGP創英角ｺﾞｼｯｸUB"/>
                          <w:color w:val="000000"/>
                          <w:sz w:val="18"/>
                          <w:u w:val="single" w:color="auto"/>
                        </w:rPr>
                      </w:pPr>
                      <w:r>
                        <w:rPr>
                          <w:rFonts w:hint="eastAsia" w:ascii="HGP創英角ｺﾞｼｯｸUB" w:hAnsi="HGP創英角ｺﾞｼｯｸUB" w:eastAsia="HGP創英角ｺﾞｼｯｸUB"/>
                          <w:color w:val="000000"/>
                          <w:sz w:val="18"/>
                          <w:u w:val="single" w:color="auto"/>
                        </w:rPr>
                        <w:t>改修履歴を考慮した</w:t>
                      </w:r>
                      <w:r>
                        <w:rPr>
                          <w:rFonts w:hint="default" w:ascii="HGP創英角ｺﾞｼｯｸUB" w:hAnsi="HGP創英角ｺﾞｼｯｸUB" w:eastAsia="HGP創英角ｺﾞｼｯｸUB"/>
                          <w:color w:val="000000"/>
                          <w:sz w:val="18"/>
                          <w:u w:val="single" w:color="auto"/>
                        </w:rPr>
                        <w:t>長寿命化型</w:t>
                      </w:r>
                      <w:r>
                        <w:rPr>
                          <w:rFonts w:hint="eastAsia" w:ascii="HGP創英角ｺﾞｼｯｸUB" w:hAnsi="HGP創英角ｺﾞｼｯｸUB" w:eastAsia="HGP創英角ｺﾞｼｯｸUB"/>
                          <w:color w:val="000000"/>
                          <w:sz w:val="18"/>
                          <w:u w:val="single" w:color="auto"/>
                        </w:rPr>
                        <w:t>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ステップ２</w:t>
                      </w:r>
                      <w:r>
                        <w:rPr>
                          <w:rFonts w:hint="default" w:ascii="HGP創英角ｺﾞｼｯｸUB" w:hAnsi="HGP創英角ｺﾞｼｯｸUB" w:eastAsia="HGP創英角ｺﾞｼｯｸUB"/>
                          <w:color w:val="000000"/>
                          <w:sz w:val="14"/>
                        </w:rPr>
                        <w:t>試算結果の</w:t>
                      </w:r>
                      <w:r>
                        <w:rPr>
                          <w:rFonts w:hint="eastAsia" w:ascii="HGP創英角ｺﾞｼｯｸUB" w:hAnsi="HGP創英角ｺﾞｼｯｸUB" w:eastAsia="HGP創英角ｺﾞｼｯｸUB"/>
                          <w:color w:val="000000"/>
                          <w:sz w:val="14"/>
                        </w:rPr>
                        <w:t>改良</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2" behindDoc="0" locked="0" layoutInCell="1" hidden="0" allowOverlap="1">
                <wp:simplePos x="0" y="0"/>
                <wp:positionH relativeFrom="column">
                  <wp:posOffset>1858645</wp:posOffset>
                </wp:positionH>
                <wp:positionV relativeFrom="paragraph">
                  <wp:posOffset>120015</wp:posOffset>
                </wp:positionV>
                <wp:extent cx="1714500" cy="619125"/>
                <wp:effectExtent l="137795" t="122555" r="113665" b="157480"/>
                <wp:wrapNone/>
                <wp:docPr id="1065" name="矢印: 五方向 241"/>
                <a:graphic xmlns:a="http://schemas.openxmlformats.org/drawingml/2006/main">
                  <a:graphicData uri="http://schemas.microsoft.com/office/word/2010/wordprocessingShape">
                    <wps:wsp>
                      <wps:cNvPr id="1065" name="矢印: 五方向 241"/>
                      <wps:cNvSpPr/>
                      <wps:spPr>
                        <a:xfrm>
                          <a:off x="0" y="0"/>
                          <a:ext cx="1714500" cy="619125"/>
                        </a:xfrm>
                        <a:prstGeom prst="homePlate">
                          <a:avLst>
                            <a:gd name="adj" fmla="val 66667"/>
                          </a:avLst>
                        </a:prstGeom>
                        <a:solidFill>
                          <a:srgbClr val="99FFCC"/>
                        </a:solidFill>
                        <a:ln w="25400" cap="flat" cmpd="sng" algn="ctr">
                          <a:noFill/>
                          <a:prstDash val="solid"/>
                        </a:ln>
                        <a:effectLst>
                          <a:outerShdw blurRad="107950" dist="12700" dir="5400000" algn="ctr">
                            <a:srgbClr val="000000"/>
                          </a:outerShdw>
                        </a:effectLst>
                        <a:scene3d>
                          <a:camera prst="orthographicFront"/>
                          <a:lightRig rig="soft" dir="t"/>
                        </a:scene3d>
                        <a:sp3d contourW="44450" prstMaterial="matte">
                          <a:bevelT w="63500" h="63500" prst="artDeco"/>
                          <a:contourClr>
                            <a:srgbClr val="FFFFFF"/>
                          </a:contourClr>
                        </a:sp3d>
                      </wps:spPr>
                      <wps:txbx>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w:t>
                            </w:r>
                            <w:r>
                              <w:rPr>
                                <w:rFonts w:hint="default" w:ascii="HGP創英角ｺﾞｼｯｸUB" w:hAnsi="HGP創英角ｺﾞｼｯｸUB" w:eastAsia="HGP創英角ｺﾞｼｯｸUB"/>
                                <w:color w:val="000000"/>
                              </w:rPr>
                              <w:t>2</w:t>
                            </w:r>
                          </w:p>
                          <w:p>
                            <w:pPr>
                              <w:pStyle w:val="0"/>
                              <w:spacing w:line="240" w:lineRule="exact"/>
                              <w:jc w:val="left"/>
                              <w:rPr>
                                <w:rFonts w:hint="default" w:ascii="HGP創英角ｺﾞｼｯｸUB" w:hAnsi="HGP創英角ｺﾞｼｯｸUB" w:eastAsia="HGP創英角ｺﾞｼｯｸUB"/>
                                <w:color w:val="000000"/>
                                <w:u w:val="single" w:color="auto"/>
                              </w:rPr>
                            </w:pPr>
                            <w:r>
                              <w:rPr>
                                <w:rFonts w:hint="eastAsia" w:ascii="HGP創英角ｺﾞｼｯｸUB" w:hAnsi="HGP創英角ｺﾞｼｯｸUB" w:eastAsia="HGP創英角ｺﾞｼｯｸUB"/>
                                <w:color w:val="000000"/>
                                <w:u w:val="single" w:color="auto"/>
                              </w:rPr>
                              <w:t>標準的な</w:t>
                            </w:r>
                            <w:r>
                              <w:rPr>
                                <w:rFonts w:hint="default" w:ascii="HGP創英角ｺﾞｼｯｸUB" w:hAnsi="HGP創英角ｺﾞｼｯｸUB" w:eastAsia="HGP創英角ｺﾞｼｯｸUB"/>
                                <w:color w:val="000000"/>
                                <w:u w:val="single" w:color="auto"/>
                              </w:rPr>
                              <w:t>長寿命化</w:t>
                            </w:r>
                            <w:r>
                              <w:rPr>
                                <w:rFonts w:hint="eastAsia" w:ascii="HGP創英角ｺﾞｼｯｸUB" w:hAnsi="HGP創英角ｺﾞｼｯｸUB" w:eastAsia="HGP創英角ｺﾞｼｯｸUB"/>
                                <w:color w:val="000000"/>
                                <w:u w:val="single" w:color="auto"/>
                              </w:rPr>
                              <w:t>型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建替え周期</w:t>
                            </w:r>
                            <w:r>
                              <w:rPr>
                                <w:rFonts w:hint="default" w:ascii="HGP創英角ｺﾞｼｯｸUB" w:hAnsi="HGP創英角ｺﾞｼｯｸUB" w:eastAsia="HGP創英角ｺﾞｼｯｸUB"/>
                                <w:color w:val="000000"/>
                                <w:sz w:val="14"/>
                              </w:rPr>
                              <w:t>約</w:t>
                            </w:r>
                            <w:r>
                              <w:rPr>
                                <w:rFonts w:hint="eastAsia" w:ascii="HGP創英角ｺﾞｼｯｸUB" w:hAnsi="HGP創英角ｺﾞｼｯｸUB" w:eastAsia="HGP創英角ｺﾞｼｯｸUB"/>
                                <w:color w:val="000000"/>
                                <w:sz w:val="14"/>
                              </w:rPr>
                              <w:t>８</w:t>
                            </w:r>
                            <w:r>
                              <w:rPr>
                                <w:rFonts w:hint="default" w:ascii="HGP創英角ｺﾞｼｯｸUB" w:hAnsi="HGP創英角ｺﾞｼｯｸUB" w:eastAsia="HGP創英角ｺﾞｼｯｸUB"/>
                                <w:color w:val="000000"/>
                                <w:sz w:val="14"/>
                              </w:rPr>
                              <w:t>０年</w:t>
                            </w:r>
                            <w:r>
                              <w:rPr>
                                <w:rFonts w:hint="eastAsia" w:ascii="HGP創英角ｺﾞｼｯｸUB" w:hAnsi="HGP創英角ｺﾞｼｯｸUB" w:eastAsia="HGP創英角ｺﾞｼｯｸUB"/>
                                <w:color w:val="000000"/>
                                <w:sz w:val="14"/>
                              </w:rPr>
                              <w:t>の</w:t>
                            </w:r>
                            <w:r>
                              <w:rPr>
                                <w:rFonts w:hint="default" w:ascii="HGP創英角ｺﾞｼｯｸUB" w:hAnsi="HGP創英角ｺﾞｼｯｸUB" w:eastAsia="HGP創英角ｺﾞｼｯｸUB"/>
                                <w:color w:val="000000"/>
                                <w:sz w:val="14"/>
                              </w:rPr>
                              <w:t>コスト試算</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1" style="mso-position-vertical-relative:text;z-index:42;mso-wrap-distance-left:9pt;width:135pt;height:48.75pt;mso-position-horizontal-relative:text;position:absolute;margin-left:146.35pt;margin-top:9.44pt;mso-wrap-distance-bottom:0pt;mso-wrap-distance-right:9pt;mso-wrap-distance-top:0pt;v-text-anchor:middle;" o:spid="_x0000_s1065" o:allowincell="t" o:allowoverlap="t" filled="t" fillcolor="#99ffcc" stroked="f" strokeweight="2pt" o:spt="15" type="#_x0000_t15" adj="7200">
                <v:fill/>
                <v:stroke linestyle="single" endcap="flat" dashstyle="solid"/>
                <v:shadow on="t" color="#000000" offset="0pt,1pt" matrix="65536f,,,65536f,,"/>
                <v:textbox style="layout-flow:horizontal;">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w:t>
                      </w:r>
                      <w:r>
                        <w:rPr>
                          <w:rFonts w:hint="default" w:ascii="HGP創英角ｺﾞｼｯｸUB" w:hAnsi="HGP創英角ｺﾞｼｯｸUB" w:eastAsia="HGP創英角ｺﾞｼｯｸUB"/>
                          <w:color w:val="000000"/>
                        </w:rPr>
                        <w:t>2</w:t>
                      </w:r>
                    </w:p>
                    <w:p>
                      <w:pPr>
                        <w:pStyle w:val="0"/>
                        <w:spacing w:line="240" w:lineRule="exact"/>
                        <w:jc w:val="left"/>
                        <w:rPr>
                          <w:rFonts w:hint="default" w:ascii="HGP創英角ｺﾞｼｯｸUB" w:hAnsi="HGP創英角ｺﾞｼｯｸUB" w:eastAsia="HGP創英角ｺﾞｼｯｸUB"/>
                          <w:color w:val="000000"/>
                          <w:u w:val="single" w:color="auto"/>
                        </w:rPr>
                      </w:pPr>
                      <w:r>
                        <w:rPr>
                          <w:rFonts w:hint="eastAsia" w:ascii="HGP創英角ｺﾞｼｯｸUB" w:hAnsi="HGP創英角ｺﾞｼｯｸUB" w:eastAsia="HGP創英角ｺﾞｼｯｸUB"/>
                          <w:color w:val="000000"/>
                          <w:u w:val="single" w:color="auto"/>
                        </w:rPr>
                        <w:t>標準的な</w:t>
                      </w:r>
                      <w:r>
                        <w:rPr>
                          <w:rFonts w:hint="default" w:ascii="HGP創英角ｺﾞｼｯｸUB" w:hAnsi="HGP創英角ｺﾞｼｯｸUB" w:eastAsia="HGP創英角ｺﾞｼｯｸUB"/>
                          <w:color w:val="000000"/>
                          <w:u w:val="single" w:color="auto"/>
                        </w:rPr>
                        <w:t>長寿命化</w:t>
                      </w:r>
                      <w:r>
                        <w:rPr>
                          <w:rFonts w:hint="eastAsia" w:ascii="HGP創英角ｺﾞｼｯｸUB" w:hAnsi="HGP創英角ｺﾞｼｯｸUB" w:eastAsia="HGP創英角ｺﾞｼｯｸUB"/>
                          <w:color w:val="000000"/>
                          <w:u w:val="single" w:color="auto"/>
                        </w:rPr>
                        <w:t>型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建替え周期</w:t>
                      </w:r>
                      <w:r>
                        <w:rPr>
                          <w:rFonts w:hint="default" w:ascii="HGP創英角ｺﾞｼｯｸUB" w:hAnsi="HGP創英角ｺﾞｼｯｸUB" w:eastAsia="HGP創英角ｺﾞｼｯｸUB"/>
                          <w:color w:val="000000"/>
                          <w:sz w:val="14"/>
                        </w:rPr>
                        <w:t>約</w:t>
                      </w:r>
                      <w:r>
                        <w:rPr>
                          <w:rFonts w:hint="eastAsia" w:ascii="HGP創英角ｺﾞｼｯｸUB" w:hAnsi="HGP創英角ｺﾞｼｯｸUB" w:eastAsia="HGP創英角ｺﾞｼｯｸUB"/>
                          <w:color w:val="000000"/>
                          <w:sz w:val="14"/>
                        </w:rPr>
                        <w:t>８</w:t>
                      </w:r>
                      <w:r>
                        <w:rPr>
                          <w:rFonts w:hint="default" w:ascii="HGP創英角ｺﾞｼｯｸUB" w:hAnsi="HGP創英角ｺﾞｼｯｸUB" w:eastAsia="HGP創英角ｺﾞｼｯｸUB"/>
                          <w:color w:val="000000"/>
                          <w:sz w:val="14"/>
                        </w:rPr>
                        <w:t>０年</w:t>
                      </w:r>
                      <w:r>
                        <w:rPr>
                          <w:rFonts w:hint="eastAsia" w:ascii="HGP創英角ｺﾞｼｯｸUB" w:hAnsi="HGP創英角ｺﾞｼｯｸUB" w:eastAsia="HGP創英角ｺﾞｼｯｸUB"/>
                          <w:color w:val="000000"/>
                          <w:sz w:val="14"/>
                        </w:rPr>
                        <w:t>の</w:t>
                      </w:r>
                      <w:r>
                        <w:rPr>
                          <w:rFonts w:hint="default" w:ascii="HGP創英角ｺﾞｼｯｸUB" w:hAnsi="HGP創英角ｺﾞｼｯｸUB" w:eastAsia="HGP創英角ｺﾞｼｯｸUB"/>
                          <w:color w:val="000000"/>
                          <w:sz w:val="14"/>
                        </w:rPr>
                        <w:t>コスト試算</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1" behindDoc="0" locked="0" layoutInCell="1" hidden="0" allowOverlap="1">
                <wp:simplePos x="0" y="0"/>
                <wp:positionH relativeFrom="column">
                  <wp:posOffset>39370</wp:posOffset>
                </wp:positionH>
                <wp:positionV relativeFrom="paragraph">
                  <wp:posOffset>124460</wp:posOffset>
                </wp:positionV>
                <wp:extent cx="1714500" cy="619125"/>
                <wp:effectExtent l="139700" t="127000" r="127000" b="160655"/>
                <wp:wrapNone/>
                <wp:docPr id="1066" name="矢印: 五方向 24"/>
                <a:graphic xmlns:a="http://schemas.openxmlformats.org/drawingml/2006/main">
                  <a:graphicData uri="http://schemas.microsoft.com/office/word/2010/wordprocessingShape">
                    <wps:wsp>
                      <wps:cNvPr id="1066" name="矢印: 五方向 24"/>
                      <wps:cNvSpPr/>
                      <wps:spPr>
                        <a:xfrm>
                          <a:off x="0" y="0"/>
                          <a:ext cx="1714500" cy="619125"/>
                        </a:xfrm>
                        <a:prstGeom prst="homePlate">
                          <a:avLst>
                            <a:gd name="adj" fmla="val 66667"/>
                          </a:avLst>
                        </a:prstGeom>
                        <a:solidFill>
                          <a:srgbClr val="99CCFF"/>
                        </a:solidFill>
                        <a:ln w="25400" cap="flat" cmpd="sng" algn="ctr">
                          <a:noFill/>
                          <a:prstDash val="solid"/>
                        </a:ln>
                        <a:effectLst>
                          <a:outerShdw blurRad="107950" dist="12700" dir="5400000" algn="ctr">
                            <a:srgbClr val="000000"/>
                          </a:outerShdw>
                        </a:effectLst>
                        <a:scene3d>
                          <a:camera prst="orthographicFront"/>
                          <a:lightRig rig="soft" dir="t"/>
                        </a:scene3d>
                        <a:sp3d contourW="44450" prstMaterial="matte">
                          <a:bevelT w="63500" h="63500" prst="artDeco"/>
                          <a:contourClr>
                            <a:srgbClr val="FFFFFF"/>
                          </a:contourClr>
                        </a:sp3d>
                      </wps:spPr>
                      <wps:txbx>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Step1</w:t>
                            </w:r>
                          </w:p>
                          <w:p>
                            <w:pPr>
                              <w:pStyle w:val="0"/>
                              <w:spacing w:line="240" w:lineRule="exact"/>
                              <w:jc w:val="left"/>
                              <w:rPr>
                                <w:rFonts w:hint="default" w:ascii="HGP創英角ｺﾞｼｯｸUB" w:hAnsi="HGP創英角ｺﾞｼｯｸUB" w:eastAsia="HGP創英角ｺﾞｼｯｸUB"/>
                                <w:color w:val="000000"/>
                                <w:u w:val="single" w:color="auto"/>
                              </w:rPr>
                            </w:pPr>
                            <w:r>
                              <w:rPr>
                                <w:rFonts w:hint="eastAsia" w:ascii="HGP創英角ｺﾞｼｯｸUB" w:hAnsi="HGP創英角ｺﾞｼｯｸUB" w:eastAsia="HGP創英角ｺﾞｼｯｸUB"/>
                                <w:color w:val="000000"/>
                                <w:u w:val="single" w:color="auto"/>
                              </w:rPr>
                              <w:t>従来型　</w:t>
                            </w:r>
                            <w:r>
                              <w:rPr>
                                <w:rFonts w:hint="default" w:ascii="HGP創英角ｺﾞｼｯｸUB" w:hAnsi="HGP創英角ｺﾞｼｯｸUB" w:eastAsia="HGP創英角ｺﾞｼｯｸUB"/>
                                <w:color w:val="000000"/>
                                <w:u w:val="single" w:color="auto"/>
                              </w:rPr>
                              <w:t>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建替え周期約</w:t>
                            </w:r>
                            <w:r>
                              <w:rPr>
                                <w:rFonts w:hint="eastAsia" w:ascii="HGP創英角ｺﾞｼｯｸUB" w:hAnsi="HGP創英角ｺﾞｼｯｸUB" w:eastAsia="HGP創英角ｺﾞｼｯｸUB"/>
                                <w:color w:val="000000"/>
                                <w:sz w:val="14"/>
                              </w:rPr>
                              <w:t>4</w:t>
                            </w:r>
                            <w:r>
                              <w:rPr>
                                <w:rFonts w:hint="eastAsia" w:ascii="HGP創英角ｺﾞｼｯｸUB" w:hAnsi="HGP創英角ｺﾞｼｯｸUB" w:eastAsia="HGP創英角ｺﾞｼｯｸUB"/>
                                <w:color w:val="000000"/>
                                <w:sz w:val="14"/>
                              </w:rPr>
                              <w:t>０年</w:t>
                            </w:r>
                            <w:r>
                              <w:rPr>
                                <w:rFonts w:hint="default" w:ascii="HGP創英角ｺﾞｼｯｸUB" w:hAnsi="HGP創英角ｺﾞｼｯｸUB" w:eastAsia="HGP創英角ｺﾞｼｯｸUB"/>
                                <w:color w:val="000000"/>
                                <w:sz w:val="14"/>
                              </w:rPr>
                              <w:t>のコスト試算</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 style="mso-position-vertical-relative:text;z-index:41;mso-wrap-distance-left:9pt;width:135pt;height:48.75pt;mso-position-horizontal-relative:text;position:absolute;margin-left:3.1pt;margin-top:9.8000000000000007pt;mso-wrap-distance-bottom:0pt;mso-wrap-distance-right:9pt;mso-wrap-distance-top:0pt;v-text-anchor:middle;" o:spid="_x0000_s1066" o:allowincell="t" o:allowoverlap="t" filled="t" fillcolor="#99ccff" stroked="f" strokeweight="2pt" o:spt="15" type="#_x0000_t15" adj="7200">
                <v:fill/>
                <v:stroke linestyle="single" endcap="flat" dashstyle="solid"/>
                <v:shadow on="t" color="#000000" offset="0pt,1pt" matrix="65536f,,,65536f,,"/>
                <v:textbox style="layout-flow:horizontal;">
                  <w:txbxContent>
                    <w:p>
                      <w:pPr>
                        <w:pStyle w:val="0"/>
                        <w:spacing w:line="240" w:lineRule="exact"/>
                        <w:jc w:val="left"/>
                        <w:rPr>
                          <w:rFonts w:hint="default" w:ascii="HGP創英角ｺﾞｼｯｸUB" w:hAnsi="HGP創英角ｺﾞｼｯｸUB" w:eastAsia="HGP創英角ｺﾞｼｯｸUB"/>
                          <w:color w:val="000000"/>
                        </w:rPr>
                      </w:pPr>
                      <w:r>
                        <w:rPr>
                          <w:rFonts w:hint="eastAsia" w:ascii="HGP創英角ｺﾞｼｯｸUB" w:hAnsi="HGP創英角ｺﾞｼｯｸUB" w:eastAsia="HGP創英角ｺﾞｼｯｸUB"/>
                          <w:color w:val="000000"/>
                        </w:rPr>
                        <w:t>Step1</w:t>
                      </w:r>
                    </w:p>
                    <w:p>
                      <w:pPr>
                        <w:pStyle w:val="0"/>
                        <w:spacing w:line="240" w:lineRule="exact"/>
                        <w:jc w:val="left"/>
                        <w:rPr>
                          <w:rFonts w:hint="default" w:ascii="HGP創英角ｺﾞｼｯｸUB" w:hAnsi="HGP創英角ｺﾞｼｯｸUB" w:eastAsia="HGP創英角ｺﾞｼｯｸUB"/>
                          <w:color w:val="000000"/>
                          <w:u w:val="single" w:color="auto"/>
                        </w:rPr>
                      </w:pPr>
                      <w:r>
                        <w:rPr>
                          <w:rFonts w:hint="eastAsia" w:ascii="HGP創英角ｺﾞｼｯｸUB" w:hAnsi="HGP創英角ｺﾞｼｯｸUB" w:eastAsia="HGP創英角ｺﾞｼｯｸUB"/>
                          <w:color w:val="000000"/>
                          <w:u w:val="single" w:color="auto"/>
                        </w:rPr>
                        <w:t>従来型　</w:t>
                      </w:r>
                      <w:r>
                        <w:rPr>
                          <w:rFonts w:hint="default" w:ascii="HGP創英角ｺﾞｼｯｸUB" w:hAnsi="HGP創英角ｺﾞｼｯｸUB" w:eastAsia="HGP創英角ｺﾞｼｯｸUB"/>
                          <w:color w:val="000000"/>
                          <w:u w:val="single" w:color="auto"/>
                        </w:rPr>
                        <w:t>　　　　　　　　　</w:t>
                      </w:r>
                    </w:p>
                    <w:p>
                      <w:pPr>
                        <w:pStyle w:val="0"/>
                        <w:spacing w:line="240" w:lineRule="exact"/>
                        <w:jc w:val="left"/>
                        <w:rPr>
                          <w:rFonts w:hint="default" w:ascii="HGP創英角ｺﾞｼｯｸUB" w:hAnsi="HGP創英角ｺﾞｼｯｸUB" w:eastAsia="HGP創英角ｺﾞｼｯｸUB"/>
                          <w:color w:val="000000"/>
                          <w:sz w:val="14"/>
                        </w:rPr>
                      </w:pPr>
                      <w:r>
                        <w:rPr>
                          <w:rFonts w:hint="eastAsia" w:ascii="HGP創英角ｺﾞｼｯｸUB" w:hAnsi="HGP創英角ｺﾞｼｯｸUB" w:eastAsia="HGP創英角ｺﾞｼｯｸUB"/>
                          <w:color w:val="000000"/>
                          <w:sz w:val="14"/>
                        </w:rPr>
                        <w:t>建替え周期約</w:t>
                      </w:r>
                      <w:r>
                        <w:rPr>
                          <w:rFonts w:hint="eastAsia" w:ascii="HGP創英角ｺﾞｼｯｸUB" w:hAnsi="HGP創英角ｺﾞｼｯｸUB" w:eastAsia="HGP創英角ｺﾞｼｯｸUB"/>
                          <w:color w:val="000000"/>
                          <w:sz w:val="14"/>
                        </w:rPr>
                        <w:t>4</w:t>
                      </w:r>
                      <w:r>
                        <w:rPr>
                          <w:rFonts w:hint="eastAsia" w:ascii="HGP創英角ｺﾞｼｯｸUB" w:hAnsi="HGP創英角ｺﾞｼｯｸUB" w:eastAsia="HGP創英角ｺﾞｼｯｸUB"/>
                          <w:color w:val="000000"/>
                          <w:sz w:val="14"/>
                        </w:rPr>
                        <w:t>０年</w:t>
                      </w:r>
                      <w:r>
                        <w:rPr>
                          <w:rFonts w:hint="default" w:ascii="HGP創英角ｺﾞｼｯｸUB" w:hAnsi="HGP創英角ｺﾞｼｯｸUB" w:eastAsia="HGP創英角ｺﾞｼｯｸUB"/>
                          <w:color w:val="000000"/>
                          <w:sz w:val="14"/>
                        </w:rPr>
                        <w:t>のコスト試算</w:t>
                      </w:r>
                    </w:p>
                  </w:txbxContent>
                </v:textbox>
                <v:imagedata o:title=""/>
                <w10:wrap type="none" anchorx="text" anchory="text"/>
              </v:shape>
            </w:pict>
          </mc:Fallback>
        </mc:AlternateContent>
      </w:r>
    </w:p>
    <w:p>
      <w:pPr>
        <w:pStyle w:val="0"/>
        <w:rPr>
          <w:rFonts w:hint="default"/>
        </w:rPr>
      </w:pPr>
    </w:p>
    <w:p>
      <w:pPr>
        <w:pStyle w:val="0"/>
        <w:jc w:val="center"/>
        <w:rPr>
          <w:rFonts w:hint="default"/>
        </w:rPr>
      </w:pPr>
    </w:p>
    <w:p>
      <w:pPr>
        <w:pStyle w:val="0"/>
        <w:rPr>
          <w:rFonts w:hint="default"/>
        </w:rPr>
      </w:pPr>
    </w:p>
    <w:p>
      <w:pPr>
        <w:pStyle w:val="0"/>
        <w:rPr>
          <w:rFonts w:hint="default"/>
        </w:rPr>
      </w:pPr>
    </w:p>
    <w:p>
      <w:pPr>
        <w:pStyle w:val="2"/>
        <w:rPr>
          <w:rFonts w:hint="default"/>
        </w:rPr>
      </w:pPr>
      <w:r>
        <w:rPr>
          <w:rFonts w:hint="eastAsia"/>
        </w:rPr>
        <w:t>　</w:t>
      </w:r>
      <w:bookmarkStart w:id="32" w:name="_Toc73347195"/>
      <w:r>
        <w:rPr>
          <w:rFonts w:hint="eastAsia"/>
        </w:rPr>
        <w:t>従来型の維持・更新コスト（</w:t>
      </w:r>
      <w:r>
        <w:rPr>
          <w:rFonts w:hint="eastAsia"/>
        </w:rPr>
        <w:t>Step</w:t>
      </w:r>
      <w:r>
        <w:rPr>
          <w:rFonts w:hint="default"/>
        </w:rPr>
        <w:t xml:space="preserve"> 1</w:t>
      </w:r>
      <w:r>
        <w:rPr>
          <w:rFonts w:hint="eastAsia"/>
        </w:rPr>
        <w:t>）</w:t>
      </w:r>
      <w:bookmarkEnd w:id="32"/>
    </w:p>
    <w:p>
      <w:pPr>
        <w:pStyle w:val="49"/>
        <w:spacing w:before="190" w:beforeLines="50" w:beforeAutospacing="0"/>
        <w:ind w:left="100" w:firstLine="0" w:firstLineChars="0"/>
        <w:jc w:val="both"/>
        <w:rPr>
          <w:rFonts w:hint="default"/>
        </w:rPr>
      </w:pPr>
      <w:r>
        <w:rPr>
          <w:rFonts w:hint="eastAsia"/>
        </w:rPr>
        <w:t>　以下に示す試算条件に基づき、築</w:t>
      </w:r>
      <w:r>
        <w:rPr>
          <w:rFonts w:hint="eastAsia"/>
        </w:rPr>
        <w:t>2</w:t>
      </w:r>
      <w:r>
        <w:rPr>
          <w:rFonts w:hint="default"/>
        </w:rPr>
        <w:t>0</w:t>
      </w:r>
      <w:r>
        <w:rPr>
          <w:rFonts w:hint="eastAsia"/>
        </w:rPr>
        <w:t>年で大規模改造を行い、築</w:t>
      </w:r>
      <w:r>
        <w:rPr>
          <w:rFonts w:hint="eastAsia"/>
        </w:rPr>
        <w:t>4</w:t>
      </w:r>
      <w:r>
        <w:rPr>
          <w:rFonts w:hint="default"/>
        </w:rPr>
        <w:t>0</w:t>
      </w:r>
      <w:r>
        <w:rPr>
          <w:rFonts w:hint="eastAsia"/>
        </w:rPr>
        <w:t>年で改築（建て替え）を行う従来型の更新サイクルを続けるとした場合の維持･更新コストを試算しました。</w:t>
      </w:r>
    </w:p>
    <w:p>
      <w:pPr>
        <w:pStyle w:val="49"/>
        <w:ind w:left="100" w:firstLine="0" w:firstLineChars="0"/>
        <w:jc w:val="both"/>
        <w:rPr>
          <w:rFonts w:hint="default"/>
        </w:rPr>
      </w:pPr>
      <w:r>
        <w:rPr>
          <w:rFonts w:hint="eastAsia"/>
        </w:rPr>
        <w:t>　約</w:t>
      </w:r>
      <w:r>
        <w:rPr>
          <w:rFonts w:hint="eastAsia"/>
        </w:rPr>
        <w:t>4</w:t>
      </w:r>
      <w:r>
        <w:rPr>
          <w:rFonts w:hint="default"/>
        </w:rPr>
        <w:t>0</w:t>
      </w:r>
      <w:r>
        <w:rPr>
          <w:rFonts w:hint="eastAsia"/>
        </w:rPr>
        <w:t>年で建て替えを行う従来型の改修を続けた場合、今後</w:t>
      </w:r>
      <w:r>
        <w:rPr>
          <w:rFonts w:hint="eastAsia"/>
        </w:rPr>
        <w:t>4</w:t>
      </w:r>
      <w:r>
        <w:rPr>
          <w:rFonts w:hint="default"/>
        </w:rPr>
        <w:t>0</w:t>
      </w:r>
      <w:r>
        <w:rPr>
          <w:rFonts w:hint="eastAsia"/>
        </w:rPr>
        <w:t>年間の維持・更新コストは</w:t>
      </w:r>
      <w:r>
        <w:rPr>
          <w:rFonts w:hint="eastAsia"/>
        </w:rPr>
        <w:t>3</w:t>
      </w:r>
      <w:r>
        <w:rPr>
          <w:rFonts w:hint="default"/>
        </w:rPr>
        <w:t>47</w:t>
      </w:r>
      <w:r>
        <w:rPr>
          <w:rFonts w:hint="eastAsia"/>
        </w:rPr>
        <w:t>億円（年平均</w:t>
      </w:r>
      <w:r>
        <w:rPr>
          <w:rFonts w:hint="eastAsia"/>
        </w:rPr>
        <w:t>8</w:t>
      </w:r>
      <w:r>
        <w:rPr>
          <w:rFonts w:hint="default"/>
        </w:rPr>
        <w:t>.7</w:t>
      </w:r>
      <w:r>
        <w:rPr>
          <w:rFonts w:hint="eastAsia"/>
        </w:rPr>
        <w:t>億円）かかり、過去の施設関連経費（</w:t>
      </w:r>
      <w:r>
        <w:rPr>
          <w:rFonts w:hint="eastAsia"/>
        </w:rPr>
        <w:t>7</w:t>
      </w:r>
      <w:r>
        <w:rPr>
          <w:rFonts w:hint="default"/>
        </w:rPr>
        <w:t>.0</w:t>
      </w:r>
      <w:r>
        <w:rPr>
          <w:rFonts w:hint="eastAsia"/>
        </w:rPr>
        <w:t>億円</w:t>
      </w:r>
      <w:r>
        <w:rPr>
          <w:rFonts w:hint="eastAsia"/>
        </w:rPr>
        <w:t>/</w:t>
      </w:r>
      <w:r>
        <w:rPr>
          <w:rFonts w:hint="eastAsia"/>
        </w:rPr>
        <w:t>年）の約</w:t>
      </w:r>
      <w:r>
        <w:rPr>
          <w:rFonts w:hint="eastAsia"/>
        </w:rPr>
        <w:t>1</w:t>
      </w:r>
      <w:r>
        <w:rPr>
          <w:rFonts w:hint="default"/>
        </w:rPr>
        <w:t>.2</w:t>
      </w:r>
      <w:r>
        <w:rPr>
          <w:rFonts w:hint="eastAsia"/>
        </w:rPr>
        <w:t>倍となります。</w:t>
      </w:r>
    </w:p>
    <w:p>
      <w:pPr>
        <w:pStyle w:val="49"/>
        <w:ind w:left="100" w:firstLine="0" w:firstLineChars="0"/>
        <w:jc w:val="both"/>
        <w:rPr>
          <w:rFonts w:hint="default"/>
        </w:rPr>
      </w:pPr>
      <w:r>
        <w:rPr>
          <w:rFonts w:hint="eastAsia"/>
        </w:rPr>
        <w:t>　また、</w:t>
      </w:r>
      <w:r>
        <w:rPr>
          <w:rFonts w:hint="eastAsia"/>
        </w:rPr>
        <w:t>2</w:t>
      </w:r>
      <w:r>
        <w:rPr>
          <w:rFonts w:hint="default"/>
        </w:rPr>
        <w:t>021</w:t>
      </w:r>
      <w:r>
        <w:rPr>
          <w:rFonts w:hint="eastAsia"/>
        </w:rPr>
        <w:t>年度（令和</w:t>
      </w:r>
      <w:r>
        <w:rPr>
          <w:rFonts w:hint="eastAsia"/>
        </w:rPr>
        <w:t>3</w:t>
      </w:r>
      <w:r>
        <w:rPr>
          <w:rFonts w:hint="eastAsia"/>
        </w:rPr>
        <w:t>年度）から</w:t>
      </w:r>
      <w:r>
        <w:rPr>
          <w:rFonts w:hint="eastAsia"/>
        </w:rPr>
        <w:t>2</w:t>
      </w:r>
      <w:r>
        <w:rPr>
          <w:rFonts w:hint="default"/>
        </w:rPr>
        <w:t>030</w:t>
      </w:r>
      <w:r>
        <w:rPr>
          <w:rFonts w:hint="eastAsia"/>
        </w:rPr>
        <w:t>年度（令和</w:t>
      </w:r>
      <w:r>
        <w:rPr>
          <w:rFonts w:hint="eastAsia"/>
        </w:rPr>
        <w:t>1</w:t>
      </w:r>
      <w:r>
        <w:rPr>
          <w:rFonts w:hint="default"/>
        </w:rPr>
        <w:t>2</w:t>
      </w:r>
      <w:r>
        <w:rPr>
          <w:rFonts w:hint="eastAsia"/>
        </w:rPr>
        <w:t>年度））に改築が集中し、直近</w:t>
      </w:r>
      <w:r>
        <w:rPr>
          <w:rFonts w:hint="eastAsia"/>
        </w:rPr>
        <w:t>1</w:t>
      </w:r>
      <w:r>
        <w:rPr>
          <w:rFonts w:hint="default"/>
        </w:rPr>
        <w:t>0</w:t>
      </w:r>
      <w:r>
        <w:rPr>
          <w:rFonts w:hint="eastAsia"/>
        </w:rPr>
        <w:t>年間の施設関連経費は平均で</w:t>
      </w:r>
      <w:r>
        <w:rPr>
          <w:rFonts w:hint="eastAsia"/>
        </w:rPr>
        <w:t>1</w:t>
      </w:r>
      <w:r>
        <w:rPr>
          <w:rFonts w:hint="default"/>
        </w:rPr>
        <w:t>7.3</w:t>
      </w:r>
      <w:r>
        <w:rPr>
          <w:rFonts w:hint="eastAsia"/>
        </w:rPr>
        <w:t>億円</w:t>
      </w:r>
      <w:r>
        <w:rPr>
          <w:rFonts w:hint="eastAsia"/>
        </w:rPr>
        <w:t>/</w:t>
      </w:r>
      <w:r>
        <w:rPr>
          <w:rFonts w:hint="eastAsia"/>
        </w:rPr>
        <w:t>年掛かるため、従来型の整備を継続することは困難であり、対応策を検討する必要があります。</w:t>
      </w:r>
    </w:p>
    <w:p>
      <w:pPr>
        <w:pStyle w:val="49"/>
        <w:spacing w:before="190" w:beforeLines="50" w:beforeAutospacing="0"/>
        <w:ind w:left="100" w:firstLine="0" w:firstLineChars="0"/>
        <w:jc w:val="both"/>
        <w:rPr>
          <w:rFonts w:hint="default"/>
          <w:color w:val="FF0000"/>
        </w:rPr>
      </w:pPr>
    </w:p>
    <w:p>
      <w:pPr>
        <w:pStyle w:val="33"/>
        <w:ind w:left="100" w:leftChars="50"/>
        <w:rPr>
          <w:rFonts w:hint="default" w:ascii="ＭＳ Ｐゴシック" w:hAnsi="ＭＳ Ｐゴシック" w:eastAsia="ＭＳ Ｐゴシック"/>
          <w:b w:val="0"/>
          <w:color w:val="000000" w:themeColor="text1"/>
        </w:rPr>
      </w:pPr>
      <w:bookmarkStart w:id="33" w:name="_Ref61781083"/>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10</w:t>
      </w:r>
      <w:r>
        <w:rPr>
          <w:rFonts w:hint="eastAsia"/>
        </w:rPr>
        <w:fldChar w:fldCharType="end"/>
      </w:r>
      <w:bookmarkEnd w:id="33"/>
      <w:r>
        <w:rPr>
          <w:rFonts w:hint="eastAsia" w:ascii="ＭＳ Ｐゴシック" w:hAnsi="ＭＳ Ｐゴシック" w:eastAsia="ＭＳ Ｐゴシック"/>
          <w:b w:val="0"/>
        </w:rPr>
        <w:t>　</w:t>
      </w:r>
      <w:bookmarkStart w:id="34" w:name="_Hlk61781535"/>
      <w:r>
        <w:rPr>
          <w:rFonts w:hint="eastAsia" w:ascii="ＭＳ Ｐゴシック" w:hAnsi="ＭＳ Ｐゴシック" w:eastAsia="ＭＳ Ｐゴシック"/>
          <w:b w:val="0"/>
        </w:rPr>
        <w:t>従来型の維持・更新コストの試算条件</w:t>
      </w:r>
      <w:bookmarkEnd w:id="34"/>
    </w:p>
    <w:tbl>
      <w:tblPr>
        <w:tblStyle w:val="57"/>
        <w:tblW w:w="8626" w:type="dxa"/>
        <w:tblInd w:w="300" w:type="dxa"/>
        <w:tblLayout w:type="fixed"/>
        <w:tblLook w:firstRow="1" w:lastRow="0" w:firstColumn="1" w:lastColumn="0" w:noHBand="0" w:noVBand="1" w:val="04A0"/>
      </w:tblPr>
      <w:tblGrid>
        <w:gridCol w:w="2954"/>
        <w:gridCol w:w="5672"/>
      </w:tblGrid>
      <w:tr>
        <w:trPr/>
        <w:tc>
          <w:tcPr>
            <w:tcW w:w="2954" w:type="dxa"/>
            <w:shd w:val="clear" w:color="auto" w:themeFill="background1" w:themeFillTint="FF" w:themeFillShade="D9"/>
            <w:vAlign w:val="top"/>
          </w:tcPr>
          <w:p>
            <w:pPr>
              <w:pStyle w:val="49"/>
              <w:ind w:left="200" w:leftChars="100" w:right="200" w:rightChars="1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項　　目</w:t>
            </w:r>
          </w:p>
        </w:tc>
        <w:tc>
          <w:tcPr>
            <w:tcW w:w="5672" w:type="dxa"/>
            <w:shd w:val="clear" w:color="auto" w:themeFill="background1" w:themeFillTint="FF" w:themeFillShade="D9"/>
            <w:vAlign w:val="top"/>
          </w:tcPr>
          <w:p>
            <w:pPr>
              <w:pStyle w:val="49"/>
              <w:ind w:left="200" w:leftChars="100" w:right="200" w:rightChars="1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条　　件</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試算の期間</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021</w:t>
            </w:r>
            <w:r>
              <w:rPr>
                <w:rFonts w:hint="eastAsia" w:ascii="ＭＳ Ｐゴシック" w:hAnsi="ＭＳ Ｐゴシック" w:eastAsia="ＭＳ Ｐゴシック"/>
                <w:sz w:val="18"/>
              </w:rPr>
              <w:t>年度（令和</w:t>
            </w:r>
            <w:r>
              <w:rPr>
                <w:rFonts w:hint="eastAsia" w:ascii="ＭＳ Ｐゴシック" w:hAnsi="ＭＳ Ｐゴシック" w:eastAsia="ＭＳ Ｐゴシック"/>
                <w:sz w:val="18"/>
              </w:rPr>
              <w:t>3</w:t>
            </w:r>
            <w:r>
              <w:rPr>
                <w:rFonts w:hint="eastAsia" w:ascii="ＭＳ Ｐゴシック" w:hAnsi="ＭＳ Ｐゴシック" w:eastAsia="ＭＳ Ｐゴシック"/>
                <w:sz w:val="18"/>
              </w:rPr>
              <w:t>年度）～</w:t>
            </w: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060</w:t>
            </w:r>
            <w:r>
              <w:rPr>
                <w:rFonts w:hint="eastAsia" w:ascii="ＭＳ Ｐゴシック" w:hAnsi="ＭＳ Ｐゴシック" w:eastAsia="ＭＳ Ｐゴシック"/>
                <w:sz w:val="18"/>
              </w:rPr>
              <w:t>年度（令和</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2</w:t>
            </w:r>
            <w:r>
              <w:rPr>
                <w:rFonts w:hint="eastAsia" w:ascii="ＭＳ Ｐゴシック" w:hAnsi="ＭＳ Ｐゴシック" w:eastAsia="ＭＳ Ｐゴシック"/>
                <w:sz w:val="18"/>
              </w:rPr>
              <w:t>年度）の</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年間</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改築までの周期</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default" w:ascii="ＭＳ Ｐゴシック" w:hAnsi="ＭＳ Ｐゴシック" w:eastAsia="ＭＳ Ｐゴシック"/>
                <w:sz w:val="18"/>
              </w:rPr>
              <w:t>40</w:t>
            </w:r>
            <w:r>
              <w:rPr>
                <w:rFonts w:hint="eastAsia" w:ascii="ＭＳ Ｐゴシック" w:hAnsi="ＭＳ Ｐゴシック" w:eastAsia="ＭＳ Ｐゴシック"/>
                <w:sz w:val="18"/>
              </w:rPr>
              <w:t>年</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改築単価</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r>
              <w:rPr>
                <w:rFonts w:hint="default" w:ascii="ＭＳ Ｐゴシック" w:hAnsi="ＭＳ Ｐゴシック" w:eastAsia="ＭＳ Ｐゴシック"/>
                <w:sz w:val="18"/>
              </w:rPr>
              <w:t>30</w:t>
            </w:r>
            <w:r>
              <w:rPr>
                <w:rFonts w:hint="eastAsia" w:ascii="ＭＳ Ｐゴシック" w:hAnsi="ＭＳ Ｐゴシック" w:eastAsia="ＭＳ Ｐゴシック"/>
                <w:sz w:val="18"/>
              </w:rPr>
              <w:t>,000</w:t>
            </w:r>
            <w:r>
              <w:rPr>
                <w:rFonts w:hint="eastAsia" w:ascii="ＭＳ Ｐゴシック" w:hAnsi="ＭＳ Ｐゴシック" w:eastAsia="ＭＳ Ｐゴシック"/>
                <w:sz w:val="18"/>
              </w:rPr>
              <w:t>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㎡（総務省単価）</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大規模改造までの周期</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default" w:ascii="ＭＳ Ｐゴシック" w:hAnsi="ＭＳ Ｐゴシック" w:eastAsia="ＭＳ Ｐゴシック"/>
                <w:sz w:val="18"/>
              </w:rPr>
              <w:t>20</w:t>
            </w:r>
            <w:r>
              <w:rPr>
                <w:rFonts w:hint="eastAsia" w:ascii="ＭＳ Ｐゴシック" w:hAnsi="ＭＳ Ｐゴシック" w:eastAsia="ＭＳ Ｐゴシック"/>
                <w:sz w:val="18"/>
              </w:rPr>
              <w:t>年</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大規模改造単価</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default" w:ascii="ＭＳ Ｐゴシック" w:hAnsi="ＭＳ Ｐゴシック" w:eastAsia="ＭＳ Ｐゴシック"/>
                <w:sz w:val="18"/>
              </w:rPr>
              <w:t>198</w:t>
            </w:r>
            <w:r>
              <w:rPr>
                <w:rFonts w:hint="eastAsia" w:ascii="ＭＳ Ｐゴシック" w:hAnsi="ＭＳ Ｐゴシック" w:eastAsia="ＭＳ Ｐゴシック"/>
                <w:sz w:val="18"/>
              </w:rPr>
              <w:t>,</w:t>
            </w:r>
            <w:r>
              <w:rPr>
                <w:rFonts w:hint="default" w:ascii="ＭＳ Ｐゴシック" w:hAnsi="ＭＳ Ｐゴシック" w:eastAsia="ＭＳ Ｐゴシック"/>
                <w:sz w:val="18"/>
              </w:rPr>
              <w:t>000</w:t>
            </w:r>
            <w:r>
              <w:rPr>
                <w:rFonts w:hint="eastAsia" w:ascii="ＭＳ Ｐゴシック" w:hAnsi="ＭＳ Ｐゴシック" w:eastAsia="ＭＳ Ｐゴシック"/>
                <w:sz w:val="18"/>
              </w:rPr>
              <w:t>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　（改築単価の</w:t>
            </w:r>
            <w:r>
              <w:rPr>
                <w:rFonts w:hint="eastAsia" w:ascii="ＭＳ Ｐゴシック" w:hAnsi="ＭＳ Ｐゴシック" w:eastAsia="ＭＳ Ｐゴシック"/>
                <w:sz w:val="18"/>
              </w:rPr>
              <w:t>6</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過去の施設関連経費</w:t>
            </w:r>
          </w:p>
        </w:tc>
        <w:tc>
          <w:tcPr>
            <w:tcW w:w="5672"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億円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年　（直近</w:t>
            </w:r>
            <w:r>
              <w:rPr>
                <w:rFonts w:hint="eastAsia" w:ascii="ＭＳ Ｐゴシック" w:hAnsi="ＭＳ Ｐゴシック" w:eastAsia="ＭＳ Ｐゴシック"/>
                <w:sz w:val="18"/>
              </w:rPr>
              <w:t>5</w:t>
            </w:r>
            <w:r>
              <w:rPr>
                <w:rFonts w:hint="eastAsia" w:ascii="ＭＳ Ｐゴシック" w:hAnsi="ＭＳ Ｐゴシック" w:eastAsia="ＭＳ Ｐゴシック"/>
                <w:sz w:val="18"/>
              </w:rPr>
              <w:t>年間の実績の平均値を採用）</w:t>
            </w:r>
          </w:p>
        </w:tc>
      </w:tr>
    </w:tbl>
    <w:p>
      <w:pPr>
        <w:pStyle w:val="49"/>
        <w:ind w:left="200" w:leftChars="100" w:firstLine="0" w:firstLineChars="0"/>
        <w:jc w:val="both"/>
        <w:rPr>
          <w:rFonts w:hint="default"/>
        </w:rPr>
      </w:pPr>
    </w:p>
    <w:p>
      <w:pPr>
        <w:pStyle w:val="33"/>
        <w:ind w:left="200" w:leftChars="10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11</w:t>
      </w:r>
      <w:r>
        <w:rPr>
          <w:rFonts w:hint="eastAsia"/>
        </w:rPr>
        <w:fldChar w:fldCharType="end"/>
      </w:r>
      <w:r>
        <w:rPr>
          <w:rFonts w:hint="eastAsia" w:ascii="ＭＳ Ｐゴシック" w:hAnsi="ＭＳ Ｐゴシック" w:eastAsia="ＭＳ Ｐゴシック"/>
          <w:b w:val="0"/>
        </w:rPr>
        <w:t>　過去の施設関連経費</w:t>
      </w:r>
    </w:p>
    <w:p>
      <w:pPr>
        <w:pStyle w:val="49"/>
        <w:snapToGrid w:val="0"/>
        <w:ind w:left="200" w:leftChars="100" w:firstLine="0" w:firstLineChars="0"/>
        <w:jc w:val="right"/>
        <w:rPr>
          <w:rFonts w:hint="default"/>
        </w:rPr>
      </w:pPr>
      <w:r>
        <w:rPr>
          <w:rFonts w:hint="eastAsia"/>
        </w:rPr>
        <w:t>（千円）</w:t>
      </w:r>
    </w:p>
    <w:tbl>
      <w:tblPr>
        <w:tblStyle w:val="57"/>
        <w:tblW w:w="8647" w:type="dxa"/>
        <w:tblInd w:w="279" w:type="dxa"/>
        <w:tblLayout w:type="fixed"/>
        <w:tblLook w:firstRow="1" w:lastRow="0" w:firstColumn="1" w:lastColumn="0" w:noHBand="0" w:noVBand="1" w:val="04A0"/>
      </w:tblPr>
      <w:tblGrid>
        <w:gridCol w:w="1744"/>
        <w:gridCol w:w="1150"/>
        <w:gridCol w:w="1151"/>
        <w:gridCol w:w="1150"/>
        <w:gridCol w:w="1151"/>
        <w:gridCol w:w="1150"/>
        <w:gridCol w:w="1151"/>
      </w:tblGrid>
      <w:tr>
        <w:trPr>
          <w:trHeight w:val="603" w:hRule="atLeast"/>
        </w:trPr>
        <w:tc>
          <w:tcPr>
            <w:tcW w:w="174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項　目</w:t>
            </w:r>
          </w:p>
        </w:tc>
        <w:tc>
          <w:tcPr>
            <w:tcW w:w="1150"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015</w:t>
            </w:r>
            <w:r>
              <w:rPr>
                <w:rFonts w:hint="eastAsia" w:ascii="ＭＳ Ｐゴシック" w:hAnsi="ＭＳ Ｐゴシック" w:eastAsia="ＭＳ Ｐゴシック"/>
                <w:sz w:val="18"/>
              </w:rPr>
              <w:t>年度</w:t>
            </w:r>
          </w:p>
          <w:p>
            <w:pPr>
              <w:pStyle w:val="49"/>
              <w:snapToGrid w:val="0"/>
              <w:ind w:left="-100" w:leftChars="-50" w:right="-100" w:rightChars="-50" w:firstLine="0" w:firstLineChars="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（平成</w:t>
            </w:r>
            <w:r>
              <w:rPr>
                <w:rFonts w:hint="eastAsia" w:ascii="ＭＳ Ｐゴシック" w:hAnsi="ＭＳ Ｐゴシック" w:eastAsia="ＭＳ Ｐゴシック"/>
                <w:sz w:val="16"/>
              </w:rPr>
              <w:t>2</w:t>
            </w:r>
            <w:r>
              <w:rPr>
                <w:rFonts w:hint="default" w:ascii="ＭＳ Ｐゴシック" w:hAnsi="ＭＳ Ｐゴシック" w:eastAsia="ＭＳ Ｐゴシック"/>
                <w:sz w:val="16"/>
              </w:rPr>
              <w:t>7</w:t>
            </w:r>
            <w:r>
              <w:rPr>
                <w:rFonts w:hint="eastAsia" w:ascii="ＭＳ Ｐゴシック" w:hAnsi="ＭＳ Ｐゴシック" w:eastAsia="ＭＳ Ｐゴシック"/>
                <w:sz w:val="16"/>
              </w:rPr>
              <w:t>年度）</w:t>
            </w:r>
          </w:p>
        </w:tc>
        <w:tc>
          <w:tcPr>
            <w:tcW w:w="1151"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016</w:t>
            </w:r>
            <w:r>
              <w:rPr>
                <w:rFonts w:hint="eastAsia" w:ascii="ＭＳ Ｐゴシック" w:hAnsi="ＭＳ Ｐゴシック" w:eastAsia="ＭＳ Ｐゴシック"/>
                <w:sz w:val="18"/>
              </w:rPr>
              <w:t>年度</w:t>
            </w:r>
          </w:p>
          <w:p>
            <w:pPr>
              <w:pStyle w:val="49"/>
              <w:snapToGrid w:val="0"/>
              <w:ind w:left="-100" w:leftChars="-50" w:right="-100" w:rightChars="-50" w:firstLine="0" w:firstLineChars="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（平成</w:t>
            </w:r>
            <w:r>
              <w:rPr>
                <w:rFonts w:hint="eastAsia" w:ascii="ＭＳ Ｐゴシック" w:hAnsi="ＭＳ Ｐゴシック" w:eastAsia="ＭＳ Ｐゴシック"/>
                <w:sz w:val="16"/>
              </w:rPr>
              <w:t>2</w:t>
            </w:r>
            <w:r>
              <w:rPr>
                <w:rFonts w:hint="default" w:ascii="ＭＳ Ｐゴシック" w:hAnsi="ＭＳ Ｐゴシック" w:eastAsia="ＭＳ Ｐゴシック"/>
                <w:sz w:val="16"/>
              </w:rPr>
              <w:t>8</w:t>
            </w:r>
            <w:r>
              <w:rPr>
                <w:rFonts w:hint="eastAsia" w:ascii="ＭＳ Ｐゴシック" w:hAnsi="ＭＳ Ｐゴシック" w:eastAsia="ＭＳ Ｐゴシック"/>
                <w:sz w:val="16"/>
              </w:rPr>
              <w:t>年度）</w:t>
            </w:r>
          </w:p>
        </w:tc>
        <w:tc>
          <w:tcPr>
            <w:tcW w:w="1150"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017</w:t>
            </w:r>
            <w:r>
              <w:rPr>
                <w:rFonts w:hint="eastAsia" w:ascii="ＭＳ Ｐゴシック" w:hAnsi="ＭＳ Ｐゴシック" w:eastAsia="ＭＳ Ｐゴシック"/>
                <w:sz w:val="18"/>
              </w:rPr>
              <w:t>年度</w:t>
            </w:r>
          </w:p>
          <w:p>
            <w:pPr>
              <w:pStyle w:val="49"/>
              <w:snapToGrid w:val="0"/>
              <w:ind w:left="-100" w:leftChars="-50" w:right="-100" w:rightChars="-50" w:firstLine="0" w:firstLineChars="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（平成</w:t>
            </w:r>
            <w:r>
              <w:rPr>
                <w:rFonts w:hint="eastAsia" w:ascii="ＭＳ Ｐゴシック" w:hAnsi="ＭＳ Ｐゴシック" w:eastAsia="ＭＳ Ｐゴシック"/>
                <w:sz w:val="16"/>
              </w:rPr>
              <w:t>2</w:t>
            </w:r>
            <w:r>
              <w:rPr>
                <w:rFonts w:hint="default" w:ascii="ＭＳ Ｐゴシック" w:hAnsi="ＭＳ Ｐゴシック" w:eastAsia="ＭＳ Ｐゴシック"/>
                <w:sz w:val="16"/>
              </w:rPr>
              <w:t>9</w:t>
            </w:r>
            <w:r>
              <w:rPr>
                <w:rFonts w:hint="eastAsia" w:ascii="ＭＳ Ｐゴシック" w:hAnsi="ＭＳ Ｐゴシック" w:eastAsia="ＭＳ Ｐゴシック"/>
                <w:sz w:val="16"/>
              </w:rPr>
              <w:t>年度）</w:t>
            </w:r>
          </w:p>
        </w:tc>
        <w:tc>
          <w:tcPr>
            <w:tcW w:w="1151"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018</w:t>
            </w:r>
            <w:r>
              <w:rPr>
                <w:rFonts w:hint="eastAsia" w:ascii="ＭＳ Ｐゴシック" w:hAnsi="ＭＳ Ｐゴシック" w:eastAsia="ＭＳ Ｐゴシック"/>
                <w:sz w:val="18"/>
              </w:rPr>
              <w:t>年度</w:t>
            </w:r>
          </w:p>
          <w:p>
            <w:pPr>
              <w:pStyle w:val="49"/>
              <w:snapToGrid w:val="0"/>
              <w:ind w:left="-100" w:leftChars="-50" w:right="-100" w:rightChars="-50" w:firstLine="0" w:firstLineChars="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（平成</w:t>
            </w:r>
            <w:r>
              <w:rPr>
                <w:rFonts w:hint="eastAsia" w:ascii="ＭＳ Ｐゴシック" w:hAnsi="ＭＳ Ｐゴシック" w:eastAsia="ＭＳ Ｐゴシック"/>
                <w:sz w:val="16"/>
              </w:rPr>
              <w:t>3</w:t>
            </w:r>
            <w:r>
              <w:rPr>
                <w:rFonts w:hint="default" w:ascii="ＭＳ Ｐゴシック" w:hAnsi="ＭＳ Ｐゴシック" w:eastAsia="ＭＳ Ｐゴシック"/>
                <w:sz w:val="16"/>
              </w:rPr>
              <w:t>0</w:t>
            </w:r>
            <w:r>
              <w:rPr>
                <w:rFonts w:hint="eastAsia" w:ascii="ＭＳ Ｐゴシック" w:hAnsi="ＭＳ Ｐゴシック" w:eastAsia="ＭＳ Ｐゴシック"/>
                <w:sz w:val="16"/>
              </w:rPr>
              <w:t>年度）</w:t>
            </w:r>
          </w:p>
        </w:tc>
        <w:tc>
          <w:tcPr>
            <w:tcW w:w="1150"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019</w:t>
            </w:r>
            <w:r>
              <w:rPr>
                <w:rFonts w:hint="eastAsia" w:ascii="ＭＳ Ｐゴシック" w:hAnsi="ＭＳ Ｐゴシック" w:eastAsia="ＭＳ Ｐゴシック"/>
                <w:sz w:val="18"/>
              </w:rPr>
              <w:t>年度</w:t>
            </w:r>
          </w:p>
          <w:p>
            <w:pPr>
              <w:pStyle w:val="49"/>
              <w:snapToGrid w:val="0"/>
              <w:ind w:left="-100" w:leftChars="-50" w:right="-100" w:rightChars="-50" w:firstLine="0" w:firstLineChars="0"/>
              <w:jc w:val="center"/>
              <w:rPr>
                <w:rFonts w:hint="default" w:ascii="ＭＳ Ｐゴシック" w:hAnsi="ＭＳ Ｐゴシック" w:eastAsia="ＭＳ Ｐゴシック"/>
                <w:sz w:val="16"/>
              </w:rPr>
            </w:pPr>
            <w:r>
              <w:rPr>
                <w:rFonts w:hint="eastAsia" w:ascii="ＭＳ Ｐゴシック" w:hAnsi="ＭＳ Ｐゴシック" w:eastAsia="ＭＳ Ｐゴシック"/>
                <w:sz w:val="16"/>
              </w:rPr>
              <w:t>（令和元年度）</w:t>
            </w:r>
          </w:p>
        </w:tc>
        <w:tc>
          <w:tcPr>
            <w:tcW w:w="1151" w:type="dxa"/>
            <w:shd w:val="clear" w:color="auto" w:themeFill="background1" w:themeFillTint="FF" w:themeFillShade="D9"/>
            <w:vAlign w:val="center"/>
          </w:tcPr>
          <w:p>
            <w:pPr>
              <w:pStyle w:val="49"/>
              <w:snapToGrid w:val="0"/>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5</w:t>
            </w:r>
            <w:r>
              <w:rPr>
                <w:rFonts w:hint="eastAsia" w:ascii="ＭＳ Ｐゴシック" w:hAnsi="ＭＳ Ｐゴシック" w:eastAsia="ＭＳ Ｐゴシック"/>
                <w:sz w:val="18"/>
              </w:rPr>
              <w:t>年平均</w:t>
            </w:r>
          </w:p>
        </w:tc>
      </w:tr>
      <w:tr>
        <w:trPr/>
        <w:tc>
          <w:tcPr>
            <w:tcW w:w="1744" w:type="dxa"/>
            <w:shd w:val="clear" w:color="auto" w:themeFill="background1" w:themeFillTint="FF" w:themeFillShade="D9"/>
            <w:vAlign w:val="top"/>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施設整備費</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637,417</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648,756</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1,126,957</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12,096</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437,527</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5</w:t>
            </w:r>
            <w:r>
              <w:rPr>
                <w:rFonts w:hint="default" w:ascii="ＭＳ Ｐゴシック" w:hAnsi="ＭＳ Ｐゴシック" w:eastAsia="ＭＳ Ｐゴシック"/>
                <w:sz w:val="18"/>
              </w:rPr>
              <w:t>72</w:t>
            </w:r>
            <w:r>
              <w:rPr>
                <w:rFonts w:hint="eastAsia" w:ascii="ＭＳ Ｐゴシック" w:hAnsi="ＭＳ Ｐゴシック" w:eastAsia="ＭＳ Ｐゴシック"/>
                <w:sz w:val="18"/>
              </w:rPr>
              <w:t>,551</w:t>
            </w:r>
          </w:p>
        </w:tc>
      </w:tr>
      <w:tr>
        <w:trPr/>
        <w:tc>
          <w:tcPr>
            <w:tcW w:w="1744" w:type="dxa"/>
            <w:shd w:val="clear" w:color="auto" w:themeFill="background1" w:themeFillTint="FF" w:themeFillShade="D9"/>
            <w:vAlign w:val="top"/>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維持修繕費</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34,584</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30,382</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22,135</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16,022</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17,143</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4</w:t>
            </w:r>
            <w:r>
              <w:rPr>
                <w:rFonts w:hint="eastAsia" w:ascii="ＭＳ Ｐゴシック" w:hAnsi="ＭＳ Ｐゴシック" w:eastAsia="ＭＳ Ｐゴシック"/>
                <w:sz w:val="18"/>
              </w:rPr>
              <w:t>,053</w:t>
            </w:r>
          </w:p>
        </w:tc>
      </w:tr>
      <w:tr>
        <w:trPr/>
        <w:tc>
          <w:tcPr>
            <w:tcW w:w="1744" w:type="dxa"/>
            <w:shd w:val="clear" w:color="auto" w:themeFill="background1" w:themeFillTint="FF" w:themeFillShade="D9"/>
            <w:vAlign w:val="top"/>
          </w:tcPr>
          <w:p>
            <w:pPr>
              <w:pStyle w:val="49"/>
              <w:ind w:left="0" w:leftChars="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光熱水費・委託費</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104,646</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96,648</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97,235</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112,388</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106,578</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r>
              <w:rPr>
                <w:rFonts w:hint="default" w:ascii="ＭＳ Ｐゴシック" w:hAnsi="ＭＳ Ｐゴシック" w:eastAsia="ＭＳ Ｐゴシック"/>
                <w:sz w:val="18"/>
              </w:rPr>
              <w:t>03</w:t>
            </w:r>
            <w:r>
              <w:rPr>
                <w:rFonts w:hint="eastAsia" w:ascii="ＭＳ Ｐゴシック" w:hAnsi="ＭＳ Ｐゴシック" w:eastAsia="ＭＳ Ｐゴシック"/>
                <w:sz w:val="18"/>
              </w:rPr>
              <w:t>,499</w:t>
            </w:r>
          </w:p>
        </w:tc>
      </w:tr>
      <w:tr>
        <w:trPr/>
        <w:tc>
          <w:tcPr>
            <w:tcW w:w="1744" w:type="dxa"/>
            <w:shd w:val="clear" w:color="auto" w:themeFill="background1" w:themeFillTint="FF" w:themeFillShade="D9"/>
            <w:vAlign w:val="top"/>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合　計</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r>
              <w:rPr>
                <w:rFonts w:hint="default" w:ascii="ＭＳ Ｐゴシック" w:hAnsi="ＭＳ Ｐゴシック" w:eastAsia="ＭＳ Ｐゴシック"/>
                <w:sz w:val="18"/>
              </w:rPr>
              <w:t>76</w:t>
            </w:r>
            <w:r>
              <w:rPr>
                <w:rFonts w:hint="eastAsia" w:ascii="ＭＳ Ｐゴシック" w:hAnsi="ＭＳ Ｐゴシック" w:eastAsia="ＭＳ Ｐゴシック"/>
                <w:sz w:val="18"/>
              </w:rPr>
              <w:t>,648</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default" w:ascii="ＭＳ Ｐゴシック" w:hAnsi="ＭＳ Ｐゴシック" w:eastAsia="ＭＳ Ｐゴシック"/>
                <w:sz w:val="18"/>
              </w:rPr>
              <w:t>775</w:t>
            </w:r>
            <w:r>
              <w:rPr>
                <w:rFonts w:hint="eastAsia" w:ascii="ＭＳ Ｐゴシック" w:hAnsi="ＭＳ Ｐゴシック" w:eastAsia="ＭＳ Ｐゴシック"/>
                <w:sz w:val="18"/>
              </w:rPr>
              <w:t>,786</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1,246,327</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r>
              <w:rPr>
                <w:rFonts w:hint="default" w:ascii="ＭＳ Ｐゴシック" w:hAnsi="ＭＳ Ｐゴシック" w:eastAsia="ＭＳ Ｐゴシック"/>
                <w:sz w:val="18"/>
              </w:rPr>
              <w:t>40</w:t>
            </w:r>
            <w:r>
              <w:rPr>
                <w:rFonts w:hint="eastAsia" w:ascii="ＭＳ Ｐゴシック" w:hAnsi="ＭＳ Ｐゴシック" w:eastAsia="ＭＳ Ｐゴシック"/>
                <w:sz w:val="18"/>
              </w:rPr>
              <w:t>,507</w:t>
            </w:r>
          </w:p>
        </w:tc>
        <w:tc>
          <w:tcPr>
            <w:tcW w:w="1150"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5</w:t>
            </w:r>
            <w:r>
              <w:rPr>
                <w:rFonts w:hint="default" w:ascii="ＭＳ Ｐゴシック" w:hAnsi="ＭＳ Ｐゴシック" w:eastAsia="ＭＳ Ｐゴシック"/>
                <w:sz w:val="18"/>
              </w:rPr>
              <w:t>61</w:t>
            </w:r>
            <w:r>
              <w:rPr>
                <w:rFonts w:hint="eastAsia" w:ascii="ＭＳ Ｐゴシック" w:hAnsi="ＭＳ Ｐゴシック" w:eastAsia="ＭＳ Ｐゴシック"/>
                <w:sz w:val="18"/>
              </w:rPr>
              <w:t>,248</w:t>
            </w:r>
          </w:p>
        </w:tc>
        <w:tc>
          <w:tcPr>
            <w:tcW w:w="1151" w:type="dxa"/>
            <w:vAlign w:val="top"/>
          </w:tcPr>
          <w:p>
            <w:pPr>
              <w:pStyle w:val="49"/>
              <w:ind w:left="0" w:leftChars="0" w:right="100" w:rightChars="50" w:firstLine="0" w:firstLineChars="0"/>
              <w:jc w:val="right"/>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r>
              <w:rPr>
                <w:rFonts w:hint="default" w:ascii="ＭＳ Ｐゴシック" w:hAnsi="ＭＳ Ｐゴシック" w:eastAsia="ＭＳ Ｐゴシック"/>
                <w:sz w:val="18"/>
              </w:rPr>
              <w:t>00</w:t>
            </w:r>
            <w:r>
              <w:rPr>
                <w:rFonts w:hint="eastAsia" w:ascii="ＭＳ Ｐゴシック" w:hAnsi="ＭＳ Ｐゴシック" w:eastAsia="ＭＳ Ｐゴシック"/>
                <w:sz w:val="18"/>
              </w:rPr>
              <w:t>,103</w:t>
            </w:r>
          </w:p>
        </w:tc>
      </w:tr>
    </w:tbl>
    <w:p>
      <w:pPr>
        <w:pStyle w:val="49"/>
        <w:ind w:left="200" w:leftChars="100" w:firstLine="0" w:firstLineChars="0"/>
        <w:jc w:val="both"/>
        <w:rPr>
          <w:rFonts w:hint="default"/>
        </w:rPr>
      </w:pPr>
    </w:p>
    <w:p>
      <w:pPr>
        <w:pStyle w:val="0"/>
        <w:widowControl w:val="1"/>
        <w:jc w:val="left"/>
        <w:rPr>
          <w:rFonts w:hint="default"/>
        </w:rPr>
      </w:pPr>
      <w:r>
        <w:rPr>
          <w:rFonts w:hint="default"/>
        </w:rPr>
        <w:br w:type="page"/>
      </w:r>
    </w:p>
    <w:p>
      <w:pPr>
        <w:pStyle w:val="49"/>
        <w:ind w:left="200" w:leftChars="100" w:firstLine="0" w:firstLineChars="0"/>
        <w:jc w:val="both"/>
        <w:rPr>
          <w:rFonts w:hint="default"/>
        </w:rPr>
      </w:pPr>
    </w:p>
    <w:p>
      <w:pPr>
        <w:pStyle w:val="0"/>
        <w:widowControl w:val="1"/>
        <w:jc w:val="center"/>
        <w:rPr>
          <w:rFonts w:hint="default"/>
        </w:rPr>
      </w:pPr>
      <w:r>
        <w:rPr>
          <w:rFonts w:hint="default"/>
        </w:rPr>
        <w:drawing>
          <wp:inline distT="0" distB="0" distL="0" distR="0">
            <wp:extent cx="5822950" cy="3914775"/>
            <wp:effectExtent l="0" t="0" r="0" b="0"/>
            <wp:docPr id="1067" name="Picture 2"/>
            <a:graphic xmlns:a="http://schemas.openxmlformats.org/drawingml/2006/main">
              <a:graphicData uri="http://schemas.openxmlformats.org/drawingml/2006/picture">
                <pic:pic xmlns:pic="http://schemas.openxmlformats.org/drawingml/2006/picture">
                  <pic:nvPicPr>
                    <pic:cNvPr id="1067" name="Picture 2"/>
                    <pic:cNvPicPr>
                      <a:picLocks noChangeAspect="1" noChangeArrowheads="1"/>
                    </pic:cNvPicPr>
                  </pic:nvPicPr>
                  <pic:blipFill>
                    <a:blip r:embed="rId47"/>
                    <a:stretch>
                      <a:fillRect/>
                    </a:stretch>
                  </pic:blipFill>
                  <pic:spPr>
                    <a:xfrm>
                      <a:off x="0" y="0"/>
                      <a:ext cx="5822950" cy="3914775"/>
                    </a:xfrm>
                    <a:prstGeom prst="rect">
                      <a:avLst/>
                    </a:prstGeom>
                    <a:noFill/>
                    <a:ln>
                      <a:noFill/>
                    </a:ln>
                  </pic:spPr>
                </pic:pic>
              </a:graphicData>
            </a:graphic>
          </wp:inline>
        </w:drawing>
      </w:r>
    </w:p>
    <w:p>
      <w:pPr>
        <w:pStyle w:val="49"/>
        <w:snapToGrid w:val="0"/>
        <w:ind w:left="560" w:leftChars="200" w:right="200" w:rightChars="100" w:hanging="160" w:hangingChars="100"/>
        <w:jc w:val="both"/>
        <w:rPr>
          <w:rFonts w:hint="default" w:ascii="ＭＳ Ｐゴシック" w:hAnsi="ＭＳ Ｐゴシック" w:eastAsia="ＭＳ Ｐゴシック"/>
          <w:sz w:val="16"/>
        </w:rPr>
      </w:pPr>
      <w:bookmarkStart w:id="35" w:name="OLE_LINK1"/>
      <w:r>
        <w:rPr>
          <w:rFonts w:hint="eastAsia" w:ascii="ＭＳ Ｐゴシック" w:hAnsi="ＭＳ Ｐゴシック" w:eastAsia="ＭＳ Ｐゴシック"/>
          <w:sz w:val="16"/>
        </w:rPr>
        <w:t>注）</w:t>
      </w:r>
      <w:r>
        <w:rPr>
          <w:rFonts w:hint="default" w:ascii="ＭＳ Ｐゴシック" w:hAnsi="ＭＳ Ｐゴシック" w:eastAsia="ＭＳ Ｐゴシック"/>
          <w:sz w:val="16"/>
        </w:rPr>
        <w:t>2020</w:t>
      </w:r>
      <w:r>
        <w:rPr>
          <w:rFonts w:hint="default" w:ascii="ＭＳ Ｐゴシック" w:hAnsi="ＭＳ Ｐゴシック" w:eastAsia="ＭＳ Ｐゴシック"/>
          <w:sz w:val="16"/>
        </w:rPr>
        <w:t>年度の施設整備費は、本計画の策定年度であり、当該年度の予算執行中により金額が確定していないため、</w:t>
      </w:r>
      <w:r>
        <w:rPr>
          <w:rFonts w:hint="default" w:ascii="ＭＳ Ｐゴシック" w:hAnsi="ＭＳ Ｐゴシック" w:eastAsia="ＭＳ Ｐゴシック"/>
          <w:sz w:val="16"/>
        </w:rPr>
        <w:t>2015</w:t>
      </w:r>
      <w:r>
        <w:rPr>
          <w:rFonts w:hint="default" w:ascii="ＭＳ Ｐゴシック" w:hAnsi="ＭＳ Ｐゴシック" w:eastAsia="ＭＳ Ｐゴシック"/>
          <w:sz w:val="16"/>
        </w:rPr>
        <w:t>年度から</w:t>
      </w:r>
      <w:r>
        <w:rPr>
          <w:rFonts w:hint="default" w:ascii="ＭＳ Ｐゴシック" w:hAnsi="ＭＳ Ｐゴシック" w:eastAsia="ＭＳ Ｐゴシック"/>
          <w:sz w:val="16"/>
        </w:rPr>
        <w:t>2019</w:t>
      </w:r>
      <w:r>
        <w:rPr>
          <w:rFonts w:hint="default" w:ascii="ＭＳ Ｐゴシック" w:hAnsi="ＭＳ Ｐゴシック" w:eastAsia="ＭＳ Ｐゴシック"/>
          <w:sz w:val="16"/>
        </w:rPr>
        <w:t>年度の実績の平均値を計上しています。</w:t>
      </w:r>
    </w:p>
    <w:p>
      <w:pPr>
        <w:pStyle w:val="0"/>
        <w:widowControl w:val="1"/>
        <w:jc w:val="center"/>
        <w:rPr>
          <w:rFonts w:hint="default"/>
        </w:rPr>
      </w:pPr>
      <w:bookmarkEnd w:id="35"/>
      <w:r>
        <w:rPr>
          <w:rFonts w:hint="default"/>
        </w:rPr>
        <w:drawing>
          <wp:inline distT="0" distB="0" distL="0" distR="0">
            <wp:extent cx="5359400" cy="2331720"/>
            <wp:effectExtent l="0" t="0" r="0" b="0"/>
            <wp:docPr id="1068" name="Picture 3"/>
            <a:graphic xmlns:a="http://schemas.openxmlformats.org/drawingml/2006/main">
              <a:graphicData uri="http://schemas.openxmlformats.org/drawingml/2006/picture">
                <pic:pic xmlns:pic="http://schemas.openxmlformats.org/drawingml/2006/picture">
                  <pic:nvPicPr>
                    <pic:cNvPr id="1068" name="Picture 3"/>
                    <pic:cNvPicPr>
                      <a:picLocks noChangeAspect="1" noChangeArrowheads="1"/>
                    </pic:cNvPicPr>
                  </pic:nvPicPr>
                  <pic:blipFill>
                    <a:blip r:embed="rId48"/>
                    <a:stretch>
                      <a:fillRect/>
                    </a:stretch>
                  </pic:blipFill>
                  <pic:spPr>
                    <a:xfrm>
                      <a:off x="0" y="0"/>
                      <a:ext cx="5359400" cy="2331720"/>
                    </a:xfrm>
                    <a:prstGeom prst="rect">
                      <a:avLst/>
                    </a:prstGeom>
                    <a:noFill/>
                    <a:ln>
                      <a:noFill/>
                    </a:ln>
                  </pic:spPr>
                </pic:pic>
              </a:graphicData>
            </a:graphic>
          </wp:inline>
        </w:drawing>
      </w:r>
    </w:p>
    <w:p>
      <w:pPr>
        <w:pStyle w:val="0"/>
        <w:widowControl w:val="1"/>
        <w:jc w:val="center"/>
        <w:rPr>
          <w:rFonts w:hint="default"/>
        </w:rPr>
      </w:pPr>
    </w:p>
    <w:p>
      <w:pPr>
        <w:pStyle w:val="49"/>
        <w:ind w:left="200" w:leftChars="100" w:firstLine="0" w:firstLineChars="0"/>
        <w:jc w:val="center"/>
        <w:rPr>
          <w:rFonts w:hint="default" w:ascii="ＭＳ Ｐゴシック" w:hAnsi="ＭＳ Ｐゴシック" w:eastAsia="ＭＳ Ｐゴシック"/>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11</w:t>
      </w:r>
      <w:r>
        <w:rPr>
          <w:rFonts w:hint="eastAsia"/>
        </w:rPr>
        <w:fldChar w:fldCharType="end"/>
      </w:r>
      <w:r>
        <w:rPr>
          <w:rFonts w:hint="eastAsia" w:ascii="ＭＳ Ｐゴシック" w:hAnsi="ＭＳ Ｐゴシック" w:eastAsia="ＭＳ Ｐゴシック"/>
        </w:rPr>
        <w:t>　従来型の維持・更新コストの試算結果（築</w:t>
      </w:r>
      <w:r>
        <w:rPr>
          <w:rFonts w:hint="eastAsia" w:ascii="ＭＳ Ｐゴシック" w:hAnsi="ＭＳ Ｐゴシック" w:eastAsia="ＭＳ Ｐゴシック"/>
        </w:rPr>
        <w:t>4</w:t>
      </w:r>
      <w:r>
        <w:rPr>
          <w:rFonts w:hint="default" w:ascii="ＭＳ Ｐゴシック" w:hAnsi="ＭＳ Ｐゴシック" w:eastAsia="ＭＳ Ｐゴシック"/>
        </w:rPr>
        <w:t>0</w:t>
      </w:r>
      <w:r>
        <w:rPr>
          <w:rFonts w:hint="eastAsia" w:ascii="ＭＳ Ｐゴシック" w:hAnsi="ＭＳ Ｐゴシック" w:eastAsia="ＭＳ Ｐゴシック"/>
        </w:rPr>
        <w:t>年で改築）</w:t>
      </w:r>
    </w:p>
    <w:p>
      <w:pPr>
        <w:pStyle w:val="0"/>
        <w:widowControl w:val="1"/>
        <w:rPr>
          <w:rFonts w:hint="default"/>
        </w:rPr>
      </w:pPr>
    </w:p>
    <w:p>
      <w:pPr>
        <w:pStyle w:val="0"/>
        <w:widowControl w:val="1"/>
        <w:jc w:val="left"/>
        <w:rPr>
          <w:rFonts w:hint="default" w:asciiTheme="majorHAnsi" w:hAnsiTheme="majorHAnsi"/>
          <w:b w:val="1"/>
          <w:color w:val="000000" w:themeColor="text1"/>
          <w:sz w:val="28"/>
        </w:rPr>
      </w:pPr>
      <w:r>
        <w:rPr>
          <w:rFonts w:hint="default"/>
        </w:rPr>
        <w:br w:type="page"/>
      </w:r>
    </w:p>
    <w:p>
      <w:pPr>
        <w:pStyle w:val="2"/>
        <w:rPr>
          <w:rFonts w:hint="default"/>
        </w:rPr>
      </w:pPr>
      <w:r>
        <w:rPr>
          <w:rFonts w:hint="eastAsia"/>
        </w:rPr>
        <w:t>　</w:t>
      </w:r>
      <w:bookmarkStart w:id="36" w:name="_Toc73347196"/>
      <w:r>
        <w:rPr>
          <w:rFonts w:hint="eastAsia"/>
        </w:rPr>
        <w:t>標準的な長寿命化型の維持・更新コスト（</w:t>
      </w:r>
      <w:r>
        <w:rPr>
          <w:rFonts w:hint="eastAsia"/>
        </w:rPr>
        <w:t>Step</w:t>
      </w:r>
      <w:r>
        <w:rPr>
          <w:rFonts w:hint="default"/>
        </w:rPr>
        <w:t xml:space="preserve"> 2</w:t>
      </w:r>
      <w:r>
        <w:rPr>
          <w:rFonts w:hint="eastAsia"/>
        </w:rPr>
        <w:t>）</w:t>
      </w:r>
      <w:bookmarkEnd w:id="36"/>
    </w:p>
    <w:p>
      <w:pPr>
        <w:pStyle w:val="49"/>
        <w:spacing w:before="190" w:beforeLines="50" w:beforeAutospacing="0"/>
        <w:ind w:left="100" w:firstLine="0" w:firstLineChars="0"/>
        <w:jc w:val="both"/>
        <w:rPr>
          <w:rFonts w:hint="default"/>
        </w:rPr>
      </w:pPr>
      <w:r>
        <w:rPr>
          <w:rFonts w:hint="eastAsia"/>
        </w:rPr>
        <w:t>　標準的な更新・改修周期を基に、劣化状況調査による改修やその他各学校施設の劣化状況を踏まえて、今後の維持・更新コストを以下の条件で試算しました。</w:t>
      </w:r>
    </w:p>
    <w:p>
      <w:pPr>
        <w:pStyle w:val="49"/>
        <w:ind w:left="100" w:firstLine="0" w:firstLineChars="0"/>
        <w:jc w:val="both"/>
        <w:rPr>
          <w:rFonts w:hint="default"/>
        </w:rPr>
      </w:pPr>
      <w:r>
        <w:rPr>
          <w:rFonts w:hint="eastAsia"/>
        </w:rPr>
        <w:t>　改築中心の「従来型管理」では、過去</w:t>
      </w:r>
      <w:r>
        <w:rPr>
          <w:rFonts w:hint="eastAsia"/>
        </w:rPr>
        <w:t>5</w:t>
      </w:r>
      <w:r>
        <w:rPr>
          <w:rFonts w:hint="eastAsia"/>
        </w:rPr>
        <w:t>年間の施設関連経費の平均額の約</w:t>
      </w:r>
      <w:r>
        <w:rPr>
          <w:rFonts w:hint="eastAsia"/>
        </w:rPr>
        <w:t>1</w:t>
      </w:r>
      <w:r>
        <w:rPr>
          <w:rFonts w:hint="default"/>
        </w:rPr>
        <w:t>.2</w:t>
      </w:r>
      <w:r>
        <w:rPr>
          <w:rFonts w:hint="eastAsia"/>
        </w:rPr>
        <w:t>倍の費用が必要であることが試算されました。</w:t>
      </w:r>
    </w:p>
    <w:p>
      <w:pPr>
        <w:pStyle w:val="49"/>
        <w:ind w:left="100" w:firstLine="0" w:firstLineChars="0"/>
        <w:jc w:val="both"/>
        <w:rPr>
          <w:rFonts w:hint="default"/>
        </w:rPr>
      </w:pPr>
    </w:p>
    <w:p>
      <w:pPr>
        <w:pStyle w:val="33"/>
        <w:ind w:left="100" w:leftChars="5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12</w:t>
      </w:r>
      <w:r>
        <w:rPr>
          <w:rFonts w:hint="eastAsia"/>
        </w:rPr>
        <w:fldChar w:fldCharType="end"/>
      </w:r>
      <w:r>
        <w:rPr>
          <w:rFonts w:hint="eastAsia" w:ascii="ＭＳ Ｐゴシック" w:hAnsi="ＭＳ Ｐゴシック" w:eastAsia="ＭＳ Ｐゴシック"/>
          <w:b w:val="0"/>
        </w:rPr>
        <w:t>　標準的な長寿命化型の維持・更新コストの試算条件</w:t>
      </w:r>
    </w:p>
    <w:tbl>
      <w:tblPr>
        <w:tblStyle w:val="57"/>
        <w:tblW w:w="8484" w:type="dxa"/>
        <w:tblInd w:w="300" w:type="dxa"/>
        <w:tblLayout w:type="fixed"/>
        <w:tblLook w:firstRow="1" w:lastRow="0" w:firstColumn="1" w:lastColumn="0" w:noHBand="0" w:noVBand="1" w:val="04A0"/>
      </w:tblPr>
      <w:tblGrid>
        <w:gridCol w:w="2954"/>
        <w:gridCol w:w="5530"/>
      </w:tblGrid>
      <w:tr>
        <w:trPr/>
        <w:tc>
          <w:tcPr>
            <w:tcW w:w="2954" w:type="dxa"/>
            <w:shd w:val="clear" w:color="auto" w:themeFill="background1" w:themeFillTint="FF" w:themeFillShade="D9"/>
            <w:vAlign w:val="top"/>
          </w:tcPr>
          <w:p>
            <w:pPr>
              <w:pStyle w:val="49"/>
              <w:ind w:left="200" w:leftChars="100" w:right="200" w:rightChars="1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項　　目</w:t>
            </w:r>
          </w:p>
        </w:tc>
        <w:tc>
          <w:tcPr>
            <w:tcW w:w="5530" w:type="dxa"/>
            <w:shd w:val="clear" w:color="auto" w:themeFill="background1" w:themeFillTint="FF" w:themeFillShade="D9"/>
            <w:vAlign w:val="top"/>
          </w:tcPr>
          <w:p>
            <w:pPr>
              <w:pStyle w:val="49"/>
              <w:ind w:left="200" w:leftChars="100" w:right="200" w:rightChars="1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条　　件</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試算の期間</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021</w:t>
            </w:r>
            <w:r>
              <w:rPr>
                <w:rFonts w:hint="eastAsia" w:ascii="ＭＳ Ｐゴシック" w:hAnsi="ＭＳ Ｐゴシック" w:eastAsia="ＭＳ Ｐゴシック"/>
                <w:sz w:val="18"/>
              </w:rPr>
              <w:t>年度（令和</w:t>
            </w:r>
            <w:r>
              <w:rPr>
                <w:rFonts w:hint="eastAsia" w:ascii="ＭＳ Ｐゴシック" w:hAnsi="ＭＳ Ｐゴシック" w:eastAsia="ＭＳ Ｐゴシック"/>
                <w:sz w:val="18"/>
              </w:rPr>
              <w:t>3</w:t>
            </w:r>
            <w:r>
              <w:rPr>
                <w:rFonts w:hint="eastAsia" w:ascii="ＭＳ Ｐゴシック" w:hAnsi="ＭＳ Ｐゴシック" w:eastAsia="ＭＳ Ｐゴシック"/>
                <w:sz w:val="18"/>
              </w:rPr>
              <w:t>年度）～</w:t>
            </w: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060</w:t>
            </w:r>
            <w:r>
              <w:rPr>
                <w:rFonts w:hint="eastAsia" w:ascii="ＭＳ Ｐゴシック" w:hAnsi="ＭＳ Ｐゴシック" w:eastAsia="ＭＳ Ｐゴシック"/>
                <w:sz w:val="18"/>
              </w:rPr>
              <w:t>年度（令和</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2</w:t>
            </w:r>
            <w:r>
              <w:rPr>
                <w:rFonts w:hint="eastAsia" w:ascii="ＭＳ Ｐゴシック" w:hAnsi="ＭＳ Ｐゴシック" w:eastAsia="ＭＳ Ｐゴシック"/>
                <w:sz w:val="18"/>
              </w:rPr>
              <w:t>年度）の</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年間</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改築までの周期</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8</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改築単価</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3</w:t>
            </w:r>
            <w:r>
              <w:rPr>
                <w:rFonts w:hint="default" w:ascii="ＭＳ Ｐゴシック" w:hAnsi="ＭＳ Ｐゴシック" w:eastAsia="ＭＳ Ｐゴシック"/>
                <w:sz w:val="18"/>
              </w:rPr>
              <w:t>30</w:t>
            </w:r>
            <w:r>
              <w:rPr>
                <w:rFonts w:hint="eastAsia" w:ascii="ＭＳ Ｐゴシック" w:hAnsi="ＭＳ Ｐゴシック" w:eastAsia="ＭＳ Ｐゴシック"/>
                <w:sz w:val="18"/>
              </w:rPr>
              <w:t>,000</w:t>
            </w:r>
            <w:r>
              <w:rPr>
                <w:rFonts w:hint="eastAsia" w:ascii="ＭＳ Ｐゴシック" w:hAnsi="ＭＳ Ｐゴシック" w:eastAsia="ＭＳ Ｐゴシック"/>
                <w:sz w:val="18"/>
              </w:rPr>
              <w:t>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㎡（総務省単価）</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長寿命化改修までの周期</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長寿命化改修単価</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1</w:t>
            </w:r>
            <w:r>
              <w:rPr>
                <w:rFonts w:hint="default" w:ascii="ＭＳ Ｐゴシック" w:hAnsi="ＭＳ Ｐゴシック" w:eastAsia="ＭＳ Ｐゴシック"/>
                <w:sz w:val="18"/>
              </w:rPr>
              <w:t>98</w:t>
            </w:r>
            <w:r>
              <w:rPr>
                <w:rFonts w:hint="eastAsia" w:ascii="ＭＳ Ｐゴシック" w:hAnsi="ＭＳ Ｐゴシック" w:eastAsia="ＭＳ Ｐゴシック"/>
                <w:sz w:val="18"/>
              </w:rPr>
              <w:t>,</w:t>
            </w:r>
            <w:r>
              <w:rPr>
                <w:rFonts w:hint="default" w:ascii="ＭＳ Ｐゴシック" w:hAnsi="ＭＳ Ｐゴシック" w:eastAsia="ＭＳ Ｐゴシック"/>
                <w:sz w:val="18"/>
              </w:rPr>
              <w:t>000</w:t>
            </w:r>
            <w:r>
              <w:rPr>
                <w:rFonts w:hint="eastAsia" w:ascii="ＭＳ Ｐゴシック" w:hAnsi="ＭＳ Ｐゴシック" w:eastAsia="ＭＳ Ｐゴシック"/>
                <w:sz w:val="18"/>
              </w:rPr>
              <w:t>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　（改築単価の</w:t>
            </w:r>
            <w:r>
              <w:rPr>
                <w:rFonts w:hint="eastAsia" w:ascii="ＭＳ Ｐゴシック" w:hAnsi="ＭＳ Ｐゴシック" w:eastAsia="ＭＳ Ｐゴシック"/>
                <w:sz w:val="18"/>
              </w:rPr>
              <w:t>6</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大規模改造までの周期</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大規模改造単価</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8</w:t>
            </w:r>
            <w:r>
              <w:rPr>
                <w:rFonts w:hint="default" w:ascii="ＭＳ Ｐゴシック" w:hAnsi="ＭＳ Ｐゴシック" w:eastAsia="ＭＳ Ｐゴシック"/>
                <w:sz w:val="18"/>
              </w:rPr>
              <w:t>2</w:t>
            </w:r>
            <w:r>
              <w:rPr>
                <w:rFonts w:hint="eastAsia" w:ascii="ＭＳ Ｐゴシック" w:hAnsi="ＭＳ Ｐゴシック" w:eastAsia="ＭＳ Ｐゴシック"/>
                <w:sz w:val="18"/>
              </w:rPr>
              <w:t>,</w:t>
            </w:r>
            <w:r>
              <w:rPr>
                <w:rFonts w:hint="default" w:ascii="ＭＳ Ｐゴシック" w:hAnsi="ＭＳ Ｐゴシック" w:eastAsia="ＭＳ Ｐゴシック"/>
                <w:sz w:val="18"/>
              </w:rPr>
              <w:t>500</w:t>
            </w:r>
            <w:r>
              <w:rPr>
                <w:rFonts w:hint="eastAsia" w:ascii="ＭＳ Ｐゴシック" w:hAnsi="ＭＳ Ｐゴシック" w:eastAsia="ＭＳ Ｐゴシック"/>
                <w:sz w:val="18"/>
              </w:rPr>
              <w:t>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　（改築単価の</w:t>
            </w:r>
            <w:r>
              <w:rPr>
                <w:rFonts w:hint="eastAsia" w:ascii="ＭＳ Ｐゴシック" w:hAnsi="ＭＳ Ｐゴシック" w:eastAsia="ＭＳ Ｐゴシック"/>
                <w:sz w:val="18"/>
              </w:rPr>
              <w:t>25</w:t>
            </w:r>
            <w:r>
              <w:rPr>
                <w:rFonts w:hint="eastAsia" w:ascii="ＭＳ Ｐゴシック" w:hAnsi="ＭＳ Ｐゴシック" w:eastAsia="ＭＳ Ｐゴシック"/>
                <w:sz w:val="18"/>
              </w:rPr>
              <w:t>％）</w:t>
            </w:r>
          </w:p>
        </w:tc>
      </w:tr>
      <w:tr>
        <w:trPr/>
        <w:tc>
          <w:tcPr>
            <w:tcW w:w="2954" w:type="dxa"/>
            <w:shd w:val="clear" w:color="auto" w:themeFill="background1" w:themeFillTint="FF" w:themeFillShade="D9"/>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過去の施設関連経費</w:t>
            </w:r>
          </w:p>
        </w:tc>
        <w:tc>
          <w:tcPr>
            <w:tcW w:w="5530" w:type="dxa"/>
            <w:vAlign w:val="top"/>
          </w:tcPr>
          <w:p>
            <w:pPr>
              <w:pStyle w:val="49"/>
              <w:ind w:left="200" w:leftChars="100" w:right="200" w:rightChars="100" w:firstLine="0" w:firstLineChars="0"/>
              <w:rPr>
                <w:rFonts w:hint="default" w:ascii="ＭＳ Ｐゴシック" w:hAnsi="ＭＳ Ｐゴシック" w:eastAsia="ＭＳ Ｐゴシック"/>
                <w:sz w:val="18"/>
              </w:rPr>
            </w:pPr>
            <w:r>
              <w:rPr>
                <w:rFonts w:hint="eastAsia" w:ascii="ＭＳ Ｐゴシック" w:hAnsi="ＭＳ Ｐゴシック" w:eastAsia="ＭＳ Ｐゴシック"/>
                <w:sz w:val="18"/>
              </w:rPr>
              <w:t>7</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億円</w:t>
            </w:r>
            <w:r>
              <w:rPr>
                <w:rFonts w:hint="eastAsia" w:ascii="ＭＳ Ｐゴシック" w:hAnsi="ＭＳ Ｐゴシック" w:eastAsia="ＭＳ Ｐゴシック"/>
                <w:sz w:val="18"/>
              </w:rPr>
              <w:t>/</w:t>
            </w:r>
            <w:r>
              <w:rPr>
                <w:rFonts w:hint="eastAsia" w:ascii="ＭＳ Ｐゴシック" w:hAnsi="ＭＳ Ｐゴシック" w:eastAsia="ＭＳ Ｐゴシック"/>
                <w:sz w:val="18"/>
              </w:rPr>
              <w:t>年　（直近</w:t>
            </w:r>
            <w:r>
              <w:rPr>
                <w:rFonts w:hint="eastAsia" w:ascii="ＭＳ Ｐゴシック" w:hAnsi="ＭＳ Ｐゴシック" w:eastAsia="ＭＳ Ｐゴシック"/>
                <w:sz w:val="18"/>
              </w:rPr>
              <w:t>5</w:t>
            </w:r>
            <w:r>
              <w:rPr>
                <w:rFonts w:hint="eastAsia" w:ascii="ＭＳ Ｐゴシック" w:hAnsi="ＭＳ Ｐゴシック" w:eastAsia="ＭＳ Ｐゴシック"/>
                <w:sz w:val="18"/>
              </w:rPr>
              <w:t>年間の実績の平均値を採用）</w:t>
            </w:r>
          </w:p>
        </w:tc>
      </w:tr>
    </w:tbl>
    <w:p>
      <w:pPr>
        <w:pStyle w:val="49"/>
        <w:ind w:left="200" w:leftChars="100" w:firstLine="0" w:firstLineChars="0"/>
        <w:jc w:val="both"/>
        <w:rPr>
          <w:rFonts w:hint="default"/>
        </w:rPr>
      </w:pPr>
    </w:p>
    <w:p>
      <w:pPr>
        <w:pStyle w:val="49"/>
        <w:ind w:left="142" w:leftChars="71" w:firstLine="0" w:firstLineChars="0"/>
        <w:jc w:val="center"/>
        <w:rPr>
          <w:rFonts w:hint="default"/>
        </w:rPr>
      </w:pPr>
      <w:r>
        <w:rPr>
          <w:rFonts w:hint="default"/>
        </w:rPr>
        <w:drawing>
          <wp:inline distT="0" distB="0" distL="0" distR="0">
            <wp:extent cx="5448300" cy="2914650"/>
            <wp:effectExtent l="0" t="0" r="0" b="0"/>
            <wp:docPr id="1069" name="Picture 3"/>
            <a:graphic xmlns:a="http://schemas.openxmlformats.org/drawingml/2006/main">
              <a:graphicData uri="http://schemas.openxmlformats.org/drawingml/2006/picture">
                <pic:pic xmlns:pic="http://schemas.openxmlformats.org/drawingml/2006/picture">
                  <pic:nvPicPr>
                    <pic:cNvPr id="1069" name="Picture 3"/>
                    <pic:cNvPicPr>
                      <a:picLocks noChangeAspect="1" noChangeArrowheads="1"/>
                    </pic:cNvPicPr>
                  </pic:nvPicPr>
                  <pic:blipFill>
                    <a:blip r:embed="rId45"/>
                    <a:stretch>
                      <a:fillRect/>
                    </a:stretch>
                  </pic:blipFill>
                  <pic:spPr>
                    <a:xfrm>
                      <a:off x="0" y="0"/>
                      <a:ext cx="5448300" cy="2914650"/>
                    </a:xfrm>
                    <a:prstGeom prst="rect">
                      <a:avLst/>
                    </a:prstGeom>
                    <a:noFill/>
                    <a:ln>
                      <a:noFill/>
                    </a:ln>
                  </pic:spPr>
                </pic:pic>
              </a:graphicData>
            </a:graphic>
          </wp:inline>
        </w:drawing>
      </w:r>
    </w:p>
    <w:p>
      <w:pPr>
        <w:pStyle w:val="49"/>
        <w:ind w:left="100" w:firstLine="0" w:firstLineChars="0"/>
        <w:jc w:val="center"/>
        <w:rPr>
          <w:rFonts w:hint="default" w:ascii="ＭＳ Ｐゴシック" w:hAnsi="ＭＳ Ｐゴシック" w:eastAsia="ＭＳ Ｐゴシック"/>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12</w:t>
      </w:r>
      <w:r>
        <w:rPr>
          <w:rFonts w:hint="eastAsia"/>
        </w:rPr>
        <w:fldChar w:fldCharType="end"/>
      </w:r>
      <w:r>
        <w:rPr>
          <w:rFonts w:hint="eastAsia" w:ascii="ＭＳ Ｐゴシック" w:hAnsi="ＭＳ Ｐゴシック" w:eastAsia="ＭＳ Ｐゴシック"/>
        </w:rPr>
        <w:t>　長寿命化のイメージ</w:t>
      </w:r>
    </w:p>
    <w:p>
      <w:pPr>
        <w:pStyle w:val="49"/>
        <w:ind w:left="100" w:firstLine="0" w:firstLineChars="0"/>
        <w:jc w:val="both"/>
        <w:rPr>
          <w:rFonts w:hint="default"/>
        </w:rPr>
      </w:pPr>
    </w:p>
    <w:p>
      <w:pPr>
        <w:pStyle w:val="49"/>
        <w:ind w:left="100" w:firstLine="0" w:firstLineChars="0"/>
        <w:jc w:val="both"/>
        <w:rPr>
          <w:rFonts w:hint="default"/>
        </w:rPr>
      </w:pPr>
      <w:r>
        <w:rPr>
          <w:rFonts w:hint="eastAsia"/>
        </w:rPr>
        <w:t>　建て替え中心の従来型から長寿命化型にシフトしていくためには、大規模改造（機能回復）及び長寿命化改良（機能向上）の計画的な実施と、適切な維持管理が必要となります。</w:t>
      </w:r>
    </w:p>
    <w:p>
      <w:pPr>
        <w:pStyle w:val="49"/>
        <w:ind w:left="100" w:firstLine="0" w:firstLineChars="0"/>
        <w:jc w:val="both"/>
        <w:rPr>
          <w:rFonts w:hint="default"/>
        </w:rPr>
      </w:pPr>
      <w:r>
        <w:rPr>
          <w:rFonts w:hint="eastAsia"/>
        </w:rPr>
        <w:t>　長寿命化改修を実施し耐用年数を約</w:t>
      </w:r>
      <w:r>
        <w:rPr>
          <w:rFonts w:hint="default"/>
        </w:rPr>
        <w:t>80</w:t>
      </w:r>
      <w:r>
        <w:rPr>
          <w:rFonts w:hint="default"/>
        </w:rPr>
        <w:t>年にした場合、今後</w:t>
      </w:r>
      <w:r>
        <w:rPr>
          <w:rFonts w:hint="default"/>
        </w:rPr>
        <w:t>40</w:t>
      </w:r>
      <w:r>
        <w:rPr>
          <w:rFonts w:hint="default"/>
        </w:rPr>
        <w:t>年間の維持・更新コストは</w:t>
      </w:r>
      <w:r>
        <w:rPr>
          <w:rFonts w:hint="eastAsia"/>
        </w:rPr>
        <w:t>3</w:t>
      </w:r>
      <w:r>
        <w:rPr>
          <w:rFonts w:hint="default"/>
        </w:rPr>
        <w:t>36</w:t>
      </w:r>
      <w:r>
        <w:rPr>
          <w:rFonts w:hint="default"/>
        </w:rPr>
        <w:t>億円（</w:t>
      </w:r>
      <w:r>
        <w:rPr>
          <w:rFonts w:hint="eastAsia"/>
        </w:rPr>
        <w:t>8</w:t>
      </w:r>
      <w:r>
        <w:rPr>
          <w:rFonts w:hint="default"/>
        </w:rPr>
        <w:t>.4</w:t>
      </w:r>
      <w:r>
        <w:rPr>
          <w:rFonts w:hint="default"/>
        </w:rPr>
        <w:t>億円</w:t>
      </w:r>
      <w:r>
        <w:rPr>
          <w:rFonts w:hint="default"/>
        </w:rPr>
        <w:t>/</w:t>
      </w:r>
      <w:r>
        <w:rPr>
          <w:rFonts w:hint="default"/>
        </w:rPr>
        <w:t>年）となり、従来型の場合の</w:t>
      </w:r>
      <w:r>
        <w:rPr>
          <w:rFonts w:hint="eastAsia"/>
        </w:rPr>
        <w:t>3</w:t>
      </w:r>
      <w:r>
        <w:rPr>
          <w:rFonts w:hint="default"/>
        </w:rPr>
        <w:t>47</w:t>
      </w:r>
      <w:r>
        <w:rPr>
          <w:rFonts w:hint="default"/>
        </w:rPr>
        <w:t>億円（</w:t>
      </w:r>
      <w:r>
        <w:rPr>
          <w:rFonts w:hint="eastAsia"/>
        </w:rPr>
        <w:t>8</w:t>
      </w:r>
      <w:r>
        <w:rPr>
          <w:rFonts w:hint="default"/>
        </w:rPr>
        <w:t>.7</w:t>
      </w:r>
      <w:r>
        <w:rPr>
          <w:rFonts w:hint="default"/>
        </w:rPr>
        <w:t>億円</w:t>
      </w:r>
      <w:r>
        <w:rPr>
          <w:rFonts w:hint="default"/>
        </w:rPr>
        <w:t>/</w:t>
      </w:r>
      <w:r>
        <w:rPr>
          <w:rFonts w:hint="default"/>
        </w:rPr>
        <w:t>年）と比べて</w:t>
      </w:r>
      <w:r>
        <w:rPr>
          <w:rFonts w:hint="eastAsia"/>
        </w:rPr>
        <w:t>ほとんど効果は見られません。</w:t>
      </w:r>
    </w:p>
    <w:p>
      <w:pPr>
        <w:pStyle w:val="49"/>
        <w:ind w:left="100" w:firstLine="0" w:firstLineChars="0"/>
        <w:jc w:val="both"/>
        <w:rPr>
          <w:rFonts w:hint="default"/>
        </w:rPr>
      </w:pPr>
    </w:p>
    <w:p>
      <w:pPr>
        <w:pStyle w:val="0"/>
        <w:widowControl w:val="1"/>
        <w:jc w:val="left"/>
        <w:rPr>
          <w:rFonts w:hint="default"/>
        </w:rPr>
      </w:pPr>
    </w:p>
    <w:p>
      <w:pPr>
        <w:pStyle w:val="0"/>
        <w:jc w:val="center"/>
        <w:rPr>
          <w:rFonts w:hint="default"/>
        </w:rPr>
      </w:pPr>
      <w:r>
        <w:rPr>
          <w:rFonts w:hint="default"/>
        </w:rPr>
        <w:drawing>
          <wp:inline distT="0" distB="0" distL="0" distR="0">
            <wp:extent cx="5753100" cy="3927475"/>
            <wp:effectExtent l="0" t="0" r="0" b="0"/>
            <wp:docPr id="1070" name="Picture 5"/>
            <a:graphic xmlns:a="http://schemas.openxmlformats.org/drawingml/2006/main">
              <a:graphicData uri="http://schemas.openxmlformats.org/drawingml/2006/picture">
                <pic:pic xmlns:pic="http://schemas.openxmlformats.org/drawingml/2006/picture">
                  <pic:nvPicPr>
                    <pic:cNvPr id="1070" name="Picture 5"/>
                    <pic:cNvPicPr>
                      <a:picLocks noChangeAspect="1" noChangeArrowheads="1"/>
                    </pic:cNvPicPr>
                  </pic:nvPicPr>
                  <pic:blipFill>
                    <a:blip r:embed="rId49"/>
                    <a:stretch>
                      <a:fillRect/>
                    </a:stretch>
                  </pic:blipFill>
                  <pic:spPr>
                    <a:xfrm>
                      <a:off x="0" y="0"/>
                      <a:ext cx="5753100" cy="3927475"/>
                    </a:xfrm>
                    <a:prstGeom prst="rect">
                      <a:avLst/>
                    </a:prstGeom>
                    <a:noFill/>
                    <a:ln>
                      <a:noFill/>
                    </a:ln>
                  </pic:spPr>
                </pic:pic>
              </a:graphicData>
            </a:graphic>
          </wp:inline>
        </w:drawing>
      </w:r>
    </w:p>
    <w:p>
      <w:pPr>
        <w:pStyle w:val="49"/>
        <w:snapToGrid w:val="0"/>
        <w:ind w:left="560" w:leftChars="200" w:right="200" w:rightChars="100" w:hanging="160" w:hangingChars="100"/>
        <w:jc w:val="both"/>
        <w:rPr>
          <w:rFonts w:hint="default" w:ascii="ＭＳ Ｐゴシック" w:hAnsi="ＭＳ Ｐゴシック" w:eastAsia="ＭＳ Ｐゴシック"/>
          <w:sz w:val="16"/>
        </w:rPr>
      </w:pPr>
      <w:r>
        <w:rPr>
          <w:rFonts w:hint="eastAsia" w:ascii="ＭＳ Ｐゴシック" w:hAnsi="ＭＳ Ｐゴシック" w:eastAsia="ＭＳ Ｐゴシック"/>
          <w:sz w:val="16"/>
        </w:rPr>
        <w:t>注）</w:t>
      </w:r>
      <w:r>
        <w:rPr>
          <w:rFonts w:hint="default" w:ascii="ＭＳ Ｐゴシック" w:hAnsi="ＭＳ Ｐゴシック" w:eastAsia="ＭＳ Ｐゴシック"/>
          <w:sz w:val="16"/>
        </w:rPr>
        <w:t>2020</w:t>
      </w:r>
      <w:r>
        <w:rPr>
          <w:rFonts w:hint="default" w:ascii="ＭＳ Ｐゴシック" w:hAnsi="ＭＳ Ｐゴシック" w:eastAsia="ＭＳ Ｐゴシック"/>
          <w:sz w:val="16"/>
        </w:rPr>
        <w:t>年度の施設整備費は、本計画の策定年度であり、当該年度の予算執行中により金額が確定していないため、</w:t>
      </w:r>
      <w:r>
        <w:rPr>
          <w:rFonts w:hint="default" w:ascii="ＭＳ Ｐゴシック" w:hAnsi="ＭＳ Ｐゴシック" w:eastAsia="ＭＳ Ｐゴシック"/>
          <w:sz w:val="16"/>
        </w:rPr>
        <w:t>2015</w:t>
      </w:r>
      <w:r>
        <w:rPr>
          <w:rFonts w:hint="default" w:ascii="ＭＳ Ｐゴシック" w:hAnsi="ＭＳ Ｐゴシック" w:eastAsia="ＭＳ Ｐゴシック"/>
          <w:sz w:val="16"/>
        </w:rPr>
        <w:t>年度から</w:t>
      </w:r>
      <w:r>
        <w:rPr>
          <w:rFonts w:hint="default" w:ascii="ＭＳ Ｐゴシック" w:hAnsi="ＭＳ Ｐゴシック" w:eastAsia="ＭＳ Ｐゴシック"/>
          <w:sz w:val="16"/>
        </w:rPr>
        <w:t>2019</w:t>
      </w:r>
      <w:r>
        <w:rPr>
          <w:rFonts w:hint="default" w:ascii="ＭＳ Ｐゴシック" w:hAnsi="ＭＳ Ｐゴシック" w:eastAsia="ＭＳ Ｐゴシック"/>
          <w:sz w:val="16"/>
        </w:rPr>
        <w:t>年度の実績の平均値を計上しています。</w:t>
      </w:r>
    </w:p>
    <w:p>
      <w:pPr>
        <w:pStyle w:val="0"/>
        <w:jc w:val="center"/>
        <w:rPr>
          <w:rFonts w:hint="default"/>
        </w:rPr>
      </w:pPr>
    </w:p>
    <w:p>
      <w:pPr>
        <w:pStyle w:val="0"/>
        <w:widowControl w:val="1"/>
        <w:jc w:val="center"/>
        <w:rPr>
          <w:rFonts w:hint="default"/>
        </w:rPr>
      </w:pPr>
      <w:r>
        <w:rPr>
          <w:rFonts w:hint="default"/>
        </w:rPr>
        <w:drawing>
          <wp:inline distT="0" distB="0" distL="0" distR="0">
            <wp:extent cx="5559425" cy="4124325"/>
            <wp:effectExtent l="0" t="0" r="0" b="0"/>
            <wp:docPr id="1071" name="Picture 6"/>
            <a:graphic xmlns:a="http://schemas.openxmlformats.org/drawingml/2006/main">
              <a:graphicData uri="http://schemas.openxmlformats.org/drawingml/2006/picture">
                <pic:pic xmlns:pic="http://schemas.openxmlformats.org/drawingml/2006/picture">
                  <pic:nvPicPr>
                    <pic:cNvPr id="1071" name="Picture 6"/>
                    <pic:cNvPicPr>
                      <a:picLocks noChangeAspect="1" noChangeArrowheads="1"/>
                    </pic:cNvPicPr>
                  </pic:nvPicPr>
                  <pic:blipFill>
                    <a:blip r:embed="rId50"/>
                    <a:stretch>
                      <a:fillRect/>
                    </a:stretch>
                  </pic:blipFill>
                  <pic:spPr>
                    <a:xfrm>
                      <a:off x="0" y="0"/>
                      <a:ext cx="5559425" cy="4124325"/>
                    </a:xfrm>
                    <a:prstGeom prst="rect">
                      <a:avLst/>
                    </a:prstGeom>
                    <a:noFill/>
                    <a:ln>
                      <a:noFill/>
                    </a:ln>
                  </pic:spPr>
                </pic:pic>
              </a:graphicData>
            </a:graphic>
          </wp:inline>
        </w:drawing>
      </w:r>
    </w:p>
    <w:p>
      <w:pPr>
        <w:pStyle w:val="49"/>
        <w:ind w:left="0" w:leftChars="0" w:firstLine="0" w:firstLineChars="0"/>
        <w:jc w:val="center"/>
        <w:rPr>
          <w:rFonts w:hint="default" w:asciiTheme="majorHAnsi" w:hAnsiTheme="majorHAnsi"/>
          <w:b w:val="1"/>
          <w:color w:val="000000" w:themeColor="text1"/>
          <w:sz w:val="32"/>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13</w:t>
      </w:r>
      <w:r>
        <w:rPr>
          <w:rFonts w:hint="eastAsia"/>
        </w:rPr>
        <w:fldChar w:fldCharType="end"/>
      </w:r>
      <w:r>
        <w:rPr>
          <w:rFonts w:hint="eastAsia" w:ascii="ＭＳ Ｐゴシック" w:hAnsi="ＭＳ Ｐゴシック" w:eastAsia="ＭＳ Ｐゴシック"/>
        </w:rPr>
        <w:t>　標準的な長寿命化型の維持・更新コストの試算結果（築</w:t>
      </w:r>
      <w:r>
        <w:rPr>
          <w:rFonts w:hint="eastAsia" w:ascii="ＭＳ Ｐゴシック" w:hAnsi="ＭＳ Ｐゴシック" w:eastAsia="ＭＳ Ｐゴシック"/>
        </w:rPr>
        <w:t>8</w:t>
      </w:r>
      <w:r>
        <w:rPr>
          <w:rFonts w:hint="default" w:ascii="ＭＳ Ｐゴシック" w:hAnsi="ＭＳ Ｐゴシック" w:eastAsia="ＭＳ Ｐゴシック"/>
        </w:rPr>
        <w:t>0</w:t>
      </w:r>
      <w:r>
        <w:rPr>
          <w:rFonts w:hint="eastAsia" w:ascii="ＭＳ Ｐゴシック" w:hAnsi="ＭＳ Ｐゴシック" w:eastAsia="ＭＳ Ｐゴシック"/>
        </w:rPr>
        <w:t>年で改築）</w:t>
      </w:r>
      <w:r>
        <w:rPr>
          <w:rFonts w:hint="default"/>
        </w:rPr>
        <w:br w:type="page"/>
      </w:r>
    </w:p>
    <w:p>
      <w:pPr>
        <w:pStyle w:val="2"/>
        <w:rPr>
          <w:rFonts w:hint="default"/>
        </w:rPr>
      </w:pPr>
      <w:r>
        <w:rPr>
          <w:rFonts w:hint="eastAsia"/>
        </w:rPr>
        <w:t>　</w:t>
      </w:r>
      <w:bookmarkStart w:id="37" w:name="_Toc73347197"/>
      <w:r>
        <w:rPr>
          <w:rFonts w:hint="eastAsia"/>
        </w:rPr>
        <w:t>改修履歴を考慮した長寿命化型の維持・更新コスト（</w:t>
      </w:r>
      <w:r>
        <w:rPr>
          <w:rFonts w:hint="eastAsia"/>
        </w:rPr>
        <w:t>Step</w:t>
      </w:r>
      <w:r>
        <w:rPr>
          <w:rFonts w:hint="default"/>
        </w:rPr>
        <w:t xml:space="preserve"> 3</w:t>
      </w:r>
      <w:r>
        <w:rPr>
          <w:rFonts w:hint="eastAsia"/>
        </w:rPr>
        <w:t>）</w:t>
      </w:r>
      <w:bookmarkEnd w:id="37"/>
    </w:p>
    <w:p>
      <w:pPr>
        <w:pStyle w:val="49"/>
        <w:spacing w:before="190" w:beforeLines="50" w:beforeAutospacing="0"/>
        <w:ind w:left="100" w:firstLine="0" w:firstLineChars="0"/>
        <w:jc w:val="both"/>
        <w:rPr>
          <w:rFonts w:hint="default"/>
        </w:rPr>
      </w:pPr>
      <w:r>
        <w:rPr>
          <w:rFonts w:hint="eastAsia"/>
        </w:rPr>
        <w:t>　本市の学校施設のほとんどが、人口急増期に建築され一斉に築</w:t>
      </w:r>
      <w:r>
        <w:rPr>
          <w:rFonts w:hint="eastAsia"/>
        </w:rPr>
        <w:t>4</w:t>
      </w:r>
      <w:r>
        <w:rPr>
          <w:rFonts w:hint="default"/>
        </w:rPr>
        <w:t>0</w:t>
      </w:r>
      <w:r>
        <w:rPr>
          <w:rFonts w:hint="eastAsia"/>
        </w:rPr>
        <w:t>年を迎えることが、改築更新コストの集中の原因と考えられます。また、直近の改修計画でも、</w:t>
      </w:r>
      <w:r>
        <w:rPr>
          <w:rFonts w:hint="eastAsia"/>
        </w:rPr>
        <w:t>2</w:t>
      </w:r>
      <w:r>
        <w:rPr>
          <w:rFonts w:hint="default"/>
        </w:rPr>
        <w:t>021</w:t>
      </w:r>
      <w:r>
        <w:rPr>
          <w:rFonts w:hint="eastAsia"/>
        </w:rPr>
        <w:t>年度（令和</w:t>
      </w:r>
      <w:r>
        <w:rPr>
          <w:rFonts w:hint="eastAsia"/>
        </w:rPr>
        <w:t>3</w:t>
      </w:r>
      <w:r>
        <w:rPr>
          <w:rFonts w:hint="eastAsia"/>
        </w:rPr>
        <w:t>年度）から</w:t>
      </w:r>
      <w:r>
        <w:rPr>
          <w:rFonts w:hint="eastAsia"/>
        </w:rPr>
        <w:t>2</w:t>
      </w:r>
      <w:r>
        <w:rPr>
          <w:rFonts w:hint="default"/>
        </w:rPr>
        <w:t>030</w:t>
      </w:r>
      <w:r>
        <w:rPr>
          <w:rFonts w:hint="eastAsia"/>
        </w:rPr>
        <w:t>年度（令和</w:t>
      </w:r>
      <w:r>
        <w:rPr>
          <w:rFonts w:hint="eastAsia"/>
        </w:rPr>
        <w:t>1</w:t>
      </w:r>
      <w:r>
        <w:rPr>
          <w:rFonts w:hint="default"/>
        </w:rPr>
        <w:t>2</w:t>
      </w:r>
      <w:r>
        <w:rPr>
          <w:rFonts w:hint="eastAsia"/>
        </w:rPr>
        <w:t>年度）までの</w:t>
      </w:r>
      <w:r>
        <w:rPr>
          <w:rFonts w:hint="eastAsia"/>
        </w:rPr>
        <w:t>1</w:t>
      </w:r>
      <w:r>
        <w:rPr>
          <w:rFonts w:hint="default"/>
        </w:rPr>
        <w:t>0</w:t>
      </w:r>
      <w:r>
        <w:rPr>
          <w:rFonts w:hint="eastAsia"/>
        </w:rPr>
        <w:t>年間に年間</w:t>
      </w:r>
      <w:r>
        <w:rPr>
          <w:rFonts w:hint="eastAsia"/>
        </w:rPr>
        <w:t>1</w:t>
      </w:r>
      <w:r>
        <w:rPr>
          <w:rFonts w:hint="default"/>
        </w:rPr>
        <w:t>0.6</w:t>
      </w:r>
      <w:r>
        <w:rPr>
          <w:rFonts w:hint="eastAsia"/>
        </w:rPr>
        <w:t>億円となり、標準的な長寿命化型で行った場合でも、実効性に乏しい計画となります。</w:t>
      </w:r>
    </w:p>
    <w:p>
      <w:pPr>
        <w:pStyle w:val="49"/>
        <w:ind w:left="100" w:firstLine="0" w:firstLineChars="0"/>
        <w:jc w:val="both"/>
        <w:rPr>
          <w:rFonts w:hint="default"/>
        </w:rPr>
      </w:pPr>
      <w:r>
        <w:rPr>
          <w:rFonts w:hint="eastAsia"/>
        </w:rPr>
        <w:t>　文部科学省では、学校施設について従来の</w:t>
      </w:r>
      <w:r>
        <w:rPr>
          <w:rFonts w:hint="eastAsia"/>
        </w:rPr>
        <w:t>4</w:t>
      </w:r>
      <w:r>
        <w:rPr>
          <w:rFonts w:hint="default"/>
        </w:rPr>
        <w:t>0</w:t>
      </w:r>
      <w:r>
        <w:rPr>
          <w:rFonts w:hint="eastAsia"/>
        </w:rPr>
        <w:t>年程度の建て替えから</w:t>
      </w:r>
      <w:r>
        <w:rPr>
          <w:rFonts w:hint="eastAsia"/>
        </w:rPr>
        <w:t>8</w:t>
      </w:r>
      <w:r>
        <w:rPr>
          <w:rFonts w:hint="default"/>
        </w:rPr>
        <w:t>0</w:t>
      </w:r>
      <w:r>
        <w:rPr>
          <w:rFonts w:hint="eastAsia"/>
        </w:rPr>
        <w:t>年程度の長期にわたって建物を使用するための長寿命化改修の方針を示し、計画上築</w:t>
      </w:r>
      <w:r>
        <w:rPr>
          <w:rFonts w:hint="eastAsia"/>
        </w:rPr>
        <w:t>4</w:t>
      </w:r>
      <w:r>
        <w:rPr>
          <w:rFonts w:hint="default"/>
        </w:rPr>
        <w:t>0</w:t>
      </w:r>
      <w:r>
        <w:rPr>
          <w:rFonts w:hint="eastAsia"/>
        </w:rPr>
        <w:t>年での長寿命化改修を原則としていますが、本市の場合、多くは旧耐震の建物であり、耐震改修工事と併せて大規模な改修を実施してきた経緯があり、改修後</w:t>
      </w:r>
      <w:r>
        <w:rPr>
          <w:rFonts w:hint="eastAsia"/>
        </w:rPr>
        <w:t>1</w:t>
      </w:r>
      <w:r>
        <w:rPr>
          <w:rFonts w:hint="default"/>
        </w:rPr>
        <w:t>0</w:t>
      </w:r>
      <w:r>
        <w:rPr>
          <w:rFonts w:hint="eastAsia"/>
        </w:rPr>
        <w:t>年を超えているものはなく、当面の長寿命化改修を先送りにすることは可能です。</w:t>
      </w:r>
    </w:p>
    <w:p>
      <w:pPr>
        <w:pStyle w:val="49"/>
        <w:ind w:left="100" w:firstLine="0" w:firstLineChars="0"/>
        <w:jc w:val="both"/>
        <w:rPr>
          <w:rFonts w:hint="default"/>
          <w:strike w:val="1"/>
        </w:rPr>
      </w:pPr>
      <w:r>
        <w:rPr>
          <w:rFonts w:hint="eastAsia"/>
        </w:rPr>
        <w:t>　旧耐震の小中学校の校舎、屋内運動場は耐震改修工事と併せて屋上防水・外壁改修・トイレ改修等の大規模な改修を実施してきた経過、また新耐震校舎である統合校の建物も同様に実施してきた経過があります。いずれも概ね築</w:t>
      </w:r>
      <w:r>
        <w:rPr>
          <w:rFonts w:hint="eastAsia"/>
        </w:rPr>
        <w:t>3</w:t>
      </w:r>
      <w:r>
        <w:rPr>
          <w:rFonts w:hint="default"/>
        </w:rPr>
        <w:t>0</w:t>
      </w:r>
      <w:r>
        <w:rPr>
          <w:rFonts w:hint="eastAsia"/>
        </w:rPr>
        <w:t>年から</w:t>
      </w:r>
      <w:r>
        <w:rPr>
          <w:rFonts w:hint="eastAsia"/>
        </w:rPr>
        <w:t>4</w:t>
      </w:r>
      <w:r>
        <w:rPr>
          <w:rFonts w:hint="default"/>
        </w:rPr>
        <w:t>0</w:t>
      </w:r>
      <w:r>
        <w:rPr>
          <w:rFonts w:hint="eastAsia"/>
        </w:rPr>
        <w:t>年で実施し、過去</w:t>
      </w:r>
      <w:r>
        <w:rPr>
          <w:rFonts w:hint="eastAsia"/>
        </w:rPr>
        <w:t>1</w:t>
      </w:r>
      <w:r>
        <w:rPr>
          <w:rFonts w:hint="default"/>
        </w:rPr>
        <w:t>0</w:t>
      </w:r>
      <w:r>
        <w:rPr>
          <w:rFonts w:hint="eastAsia"/>
        </w:rPr>
        <w:t>年の大規模な改修履歴は</w:t>
      </w:r>
      <w:r>
        <w:rPr>
          <w:rFonts w:hint="eastAsia"/>
        </w:rPr>
        <w:t>8</w:t>
      </w:r>
      <w:r>
        <w:rPr>
          <w:rFonts w:hint="eastAsia"/>
        </w:rPr>
        <w:t>校</w:t>
      </w:r>
      <w:r>
        <w:rPr>
          <w:rFonts w:hint="eastAsia"/>
        </w:rPr>
        <w:t>1</w:t>
      </w:r>
      <w:r>
        <w:rPr>
          <w:rFonts w:hint="eastAsia"/>
        </w:rPr>
        <w:t>園</w:t>
      </w:r>
      <w:r>
        <w:rPr>
          <w:rFonts w:hint="eastAsia"/>
        </w:rPr>
        <w:t>38</w:t>
      </w:r>
      <w:r>
        <w:rPr>
          <w:rFonts w:hint="eastAsia"/>
        </w:rPr>
        <w:t>棟となっています。なお、東鳥取小学校の校舎については、築</w:t>
      </w:r>
      <w:r>
        <w:rPr>
          <w:rFonts w:hint="eastAsia"/>
        </w:rPr>
        <w:t>4</w:t>
      </w:r>
      <w:r>
        <w:rPr>
          <w:rFonts w:hint="default"/>
        </w:rPr>
        <w:t>0</w:t>
      </w:r>
      <w:r>
        <w:rPr>
          <w:rFonts w:hint="eastAsia"/>
        </w:rPr>
        <w:t>年で長寿命化改修をすでに実施しています。</w:t>
      </w:r>
    </w:p>
    <w:p>
      <w:pPr>
        <w:pStyle w:val="49"/>
        <w:ind w:left="100" w:firstLine="0" w:firstLineChars="0"/>
        <w:jc w:val="both"/>
        <w:rPr>
          <w:rFonts w:hint="default"/>
        </w:rPr>
      </w:pPr>
      <w:r>
        <w:rPr>
          <w:rFonts w:hint="eastAsia"/>
        </w:rPr>
        <w:t>　このような本市の特徴を考慮して、改修履歴考慮型で長寿命化改修計画の検討を行います。</w:t>
      </w:r>
    </w:p>
    <w:p>
      <w:pPr>
        <w:pStyle w:val="49"/>
        <w:ind w:left="100" w:firstLine="0" w:firstLineChars="0"/>
        <w:jc w:val="both"/>
        <w:rPr>
          <w:rFonts w:hint="default"/>
        </w:rPr>
      </w:pPr>
      <w:r>
        <w:rPr>
          <w:rFonts w:hint="eastAsia"/>
        </w:rPr>
        <w:t>　まずは、築年数と改修履歴より以下のとおり建物のグループ分けを行いました。</w:t>
      </w:r>
    </w:p>
    <w:p>
      <w:pPr>
        <w:pStyle w:val="49"/>
        <w:ind w:left="100" w:firstLine="0" w:firstLineChars="0"/>
        <w:jc w:val="both"/>
        <w:rPr>
          <w:rFonts w:hint="default"/>
        </w:rPr>
      </w:pPr>
    </w:p>
    <w:p>
      <w:pPr>
        <w:pStyle w:val="33"/>
        <w:ind w:left="100" w:leftChars="5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13</w:t>
      </w:r>
      <w:r>
        <w:rPr>
          <w:rFonts w:hint="eastAsia"/>
        </w:rPr>
        <w:fldChar w:fldCharType="end"/>
      </w:r>
      <w:r>
        <w:rPr>
          <w:rFonts w:hint="eastAsia" w:ascii="ＭＳ Ｐゴシック" w:hAnsi="ＭＳ Ｐゴシック" w:eastAsia="ＭＳ Ｐゴシック"/>
          <w:b w:val="0"/>
        </w:rPr>
        <w:t>　築年数・改修履歴によるグループ分け（部室・倉庫等除く）</w:t>
      </w:r>
    </w:p>
    <w:tbl>
      <w:tblPr>
        <w:tblStyle w:val="57"/>
        <w:tblW w:w="7087" w:type="dxa"/>
        <w:tblInd w:w="988" w:type="dxa"/>
        <w:tblLayout w:type="fixed"/>
        <w:tblLook w:firstRow="1" w:lastRow="0" w:firstColumn="1" w:lastColumn="0" w:noHBand="0" w:noVBand="1" w:val="04A0"/>
      </w:tblPr>
      <w:tblGrid>
        <w:gridCol w:w="1559"/>
        <w:gridCol w:w="5528"/>
      </w:tblGrid>
      <w:tr>
        <w:trPr/>
        <w:tc>
          <w:tcPr>
            <w:tcW w:w="1559" w:type="dxa"/>
            <w:shd w:val="clear" w:color="auto" w:themeFill="background1" w:themeFillTint="FF" w:themeFillShade="D9"/>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グループ</w:t>
            </w:r>
          </w:p>
        </w:tc>
        <w:tc>
          <w:tcPr>
            <w:tcW w:w="5528" w:type="dxa"/>
            <w:shd w:val="clear" w:color="auto" w:themeFill="background1" w:themeFillTint="FF" w:themeFillShade="D9"/>
            <w:vAlign w:val="center"/>
          </w:tcPr>
          <w:p>
            <w:pPr>
              <w:pStyle w:val="49"/>
              <w:ind w:left="400" w:leftChars="200" w:right="400" w:rightChars="2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築年数・改修履歴による区分</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①</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築</w:t>
            </w:r>
            <w:r>
              <w:rPr>
                <w:rFonts w:hint="default" w:ascii="ＭＳ Ｐゴシック" w:hAnsi="ＭＳ Ｐゴシック" w:eastAsia="ＭＳ Ｐゴシック"/>
                <w:sz w:val="18"/>
              </w:rPr>
              <w:t>10</w:t>
            </w:r>
            <w:r>
              <w:rPr>
                <w:rFonts w:hint="default" w:ascii="ＭＳ Ｐゴシック" w:hAnsi="ＭＳ Ｐゴシック" w:eastAsia="ＭＳ Ｐゴシック"/>
                <w:sz w:val="18"/>
              </w:rPr>
              <w:t>年以内の建物</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②</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直近</w:t>
            </w:r>
            <w:r>
              <w:rPr>
                <w:rFonts w:hint="default" w:ascii="ＭＳ Ｐゴシック" w:hAnsi="ＭＳ Ｐゴシック" w:eastAsia="ＭＳ Ｐゴシック"/>
                <w:sz w:val="18"/>
              </w:rPr>
              <w:t>10</w:t>
            </w:r>
            <w:r>
              <w:rPr>
                <w:rFonts w:hint="default" w:ascii="ＭＳ Ｐゴシック" w:hAnsi="ＭＳ Ｐゴシック" w:eastAsia="ＭＳ Ｐゴシック"/>
                <w:sz w:val="18"/>
              </w:rPr>
              <w:t>年に長寿命化改修履歴がある建物</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③</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直近</w:t>
            </w:r>
            <w:r>
              <w:rPr>
                <w:rFonts w:hint="default" w:ascii="ＭＳ Ｐゴシック" w:hAnsi="ＭＳ Ｐゴシック" w:eastAsia="ＭＳ Ｐゴシック"/>
                <w:sz w:val="18"/>
              </w:rPr>
              <w:t>10</w:t>
            </w:r>
            <w:r>
              <w:rPr>
                <w:rFonts w:hint="default" w:ascii="ＭＳ Ｐゴシック" w:hAnsi="ＭＳ Ｐゴシック" w:eastAsia="ＭＳ Ｐゴシック"/>
                <w:sz w:val="18"/>
              </w:rPr>
              <w:t>年に大規模</w:t>
            </w:r>
            <w:r>
              <w:rPr>
                <w:rFonts w:hint="eastAsia" w:ascii="ＭＳ Ｐゴシック" w:hAnsi="ＭＳ Ｐゴシック" w:eastAsia="ＭＳ Ｐゴシック"/>
                <w:sz w:val="18"/>
              </w:rPr>
              <w:t>改造</w:t>
            </w:r>
            <w:r>
              <w:rPr>
                <w:rFonts w:hint="default" w:ascii="ＭＳ Ｐゴシック" w:hAnsi="ＭＳ Ｐゴシック" w:eastAsia="ＭＳ Ｐゴシック"/>
                <w:sz w:val="18"/>
              </w:rPr>
              <w:t>履歴がある建物</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④</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直近</w:t>
            </w:r>
            <w:r>
              <w:rPr>
                <w:rFonts w:hint="default" w:ascii="ＭＳ Ｐゴシック" w:hAnsi="ＭＳ Ｐゴシック" w:eastAsia="ＭＳ Ｐゴシック"/>
                <w:sz w:val="18"/>
              </w:rPr>
              <w:t>10</w:t>
            </w:r>
            <w:r>
              <w:rPr>
                <w:rFonts w:hint="default" w:ascii="ＭＳ Ｐゴシック" w:hAnsi="ＭＳ Ｐゴシック" w:eastAsia="ＭＳ Ｐゴシック"/>
                <w:sz w:val="18"/>
              </w:rPr>
              <w:t>年に大規模</w:t>
            </w:r>
            <w:r>
              <w:rPr>
                <w:rFonts w:hint="eastAsia" w:ascii="ＭＳ Ｐゴシック" w:hAnsi="ＭＳ Ｐゴシック" w:eastAsia="ＭＳ Ｐゴシック"/>
                <w:sz w:val="18"/>
              </w:rPr>
              <w:t>改造</w:t>
            </w:r>
            <w:r>
              <w:rPr>
                <w:rFonts w:hint="default" w:ascii="ＭＳ Ｐゴシック" w:hAnsi="ＭＳ Ｐゴシック" w:eastAsia="ＭＳ Ｐゴシック"/>
                <w:sz w:val="18"/>
              </w:rPr>
              <w:t>履歴</w:t>
            </w:r>
            <w:r>
              <w:rPr>
                <w:rFonts w:hint="eastAsia" w:ascii="ＭＳ Ｐゴシック" w:hAnsi="ＭＳ Ｐゴシック" w:eastAsia="ＭＳ Ｐゴシック"/>
                <w:sz w:val="18"/>
              </w:rPr>
              <w:t>が</w:t>
            </w:r>
            <w:r>
              <w:rPr>
                <w:rFonts w:hint="default" w:ascii="ＭＳ Ｐゴシック" w:hAnsi="ＭＳ Ｐゴシック" w:eastAsia="ＭＳ Ｐゴシック"/>
                <w:sz w:val="18"/>
              </w:rPr>
              <w:t>なく</w:t>
            </w:r>
            <w:r>
              <w:rPr>
                <w:rFonts w:hint="eastAsia" w:ascii="ＭＳ Ｐゴシック" w:hAnsi="ＭＳ Ｐゴシック" w:eastAsia="ＭＳ Ｐゴシック"/>
                <w:sz w:val="18"/>
              </w:rPr>
              <w:t>、</w:t>
            </w:r>
            <w:r>
              <w:rPr>
                <w:rFonts w:hint="default" w:ascii="ＭＳ Ｐゴシック" w:hAnsi="ＭＳ Ｐゴシック" w:eastAsia="ＭＳ Ｐゴシック"/>
                <w:sz w:val="18"/>
              </w:rPr>
              <w:t>築</w:t>
            </w:r>
            <w:r>
              <w:rPr>
                <w:rFonts w:hint="default" w:ascii="ＭＳ Ｐゴシック" w:hAnsi="ＭＳ Ｐゴシック" w:eastAsia="ＭＳ Ｐゴシック"/>
                <w:sz w:val="18"/>
              </w:rPr>
              <w:t>40</w:t>
            </w:r>
            <w:r>
              <w:rPr>
                <w:rFonts w:hint="default" w:ascii="ＭＳ Ｐゴシック" w:hAnsi="ＭＳ Ｐゴシック" w:eastAsia="ＭＳ Ｐゴシック"/>
                <w:sz w:val="18"/>
              </w:rPr>
              <w:t>年未満の建物</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⑤</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直近</w:t>
            </w:r>
            <w:r>
              <w:rPr>
                <w:rFonts w:hint="default" w:ascii="ＭＳ Ｐゴシック" w:hAnsi="ＭＳ Ｐゴシック" w:eastAsia="ＭＳ Ｐゴシック"/>
                <w:sz w:val="18"/>
              </w:rPr>
              <w:t>10</w:t>
            </w:r>
            <w:r>
              <w:rPr>
                <w:rFonts w:hint="default" w:ascii="ＭＳ Ｐゴシック" w:hAnsi="ＭＳ Ｐゴシック" w:eastAsia="ＭＳ Ｐゴシック"/>
                <w:sz w:val="18"/>
              </w:rPr>
              <w:t>年に大規模</w:t>
            </w:r>
            <w:r>
              <w:rPr>
                <w:rFonts w:hint="eastAsia" w:ascii="ＭＳ Ｐゴシック" w:hAnsi="ＭＳ Ｐゴシック" w:eastAsia="ＭＳ Ｐゴシック"/>
                <w:sz w:val="18"/>
              </w:rPr>
              <w:t>改造</w:t>
            </w:r>
            <w:r>
              <w:rPr>
                <w:rFonts w:hint="default" w:ascii="ＭＳ Ｐゴシック" w:hAnsi="ＭＳ Ｐゴシック" w:eastAsia="ＭＳ Ｐゴシック"/>
                <w:sz w:val="18"/>
              </w:rPr>
              <w:t>履歴</w:t>
            </w:r>
            <w:r>
              <w:rPr>
                <w:rFonts w:hint="eastAsia" w:ascii="ＭＳ Ｐゴシック" w:hAnsi="ＭＳ Ｐゴシック" w:eastAsia="ＭＳ Ｐゴシック"/>
                <w:sz w:val="18"/>
              </w:rPr>
              <w:t>が</w:t>
            </w:r>
            <w:r>
              <w:rPr>
                <w:rFonts w:hint="default" w:ascii="ＭＳ Ｐゴシック" w:hAnsi="ＭＳ Ｐゴシック" w:eastAsia="ＭＳ Ｐゴシック"/>
                <w:sz w:val="18"/>
              </w:rPr>
              <w:t>なく</w:t>
            </w:r>
            <w:r>
              <w:rPr>
                <w:rFonts w:hint="eastAsia" w:ascii="ＭＳ Ｐゴシック" w:hAnsi="ＭＳ Ｐゴシック" w:eastAsia="ＭＳ Ｐゴシック"/>
                <w:sz w:val="18"/>
              </w:rPr>
              <w:t>、概ね</w:t>
            </w:r>
            <w:r>
              <w:rPr>
                <w:rFonts w:hint="default" w:ascii="ＭＳ Ｐゴシック" w:hAnsi="ＭＳ Ｐゴシック" w:eastAsia="ＭＳ Ｐゴシック"/>
                <w:sz w:val="18"/>
              </w:rPr>
              <w:t>築</w:t>
            </w:r>
            <w:r>
              <w:rPr>
                <w:rFonts w:hint="default" w:ascii="ＭＳ Ｐゴシック" w:hAnsi="ＭＳ Ｐゴシック" w:eastAsia="ＭＳ Ｐゴシック"/>
                <w:sz w:val="18"/>
              </w:rPr>
              <w:t>40</w:t>
            </w:r>
            <w:r>
              <w:rPr>
                <w:rFonts w:hint="default" w:ascii="ＭＳ Ｐゴシック" w:hAnsi="ＭＳ Ｐゴシック" w:eastAsia="ＭＳ Ｐゴシック"/>
                <w:sz w:val="18"/>
              </w:rPr>
              <w:t>年以上の建物</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⑥</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概ね築</w:t>
            </w:r>
            <w:r>
              <w:rPr>
                <w:rFonts w:hint="eastAsia" w:ascii="ＭＳ Ｐゴシック" w:hAnsi="ＭＳ Ｐゴシック" w:eastAsia="ＭＳ Ｐゴシック"/>
                <w:sz w:val="18"/>
              </w:rPr>
              <w:t>5</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年以上の建物</w:t>
            </w:r>
          </w:p>
        </w:tc>
      </w:tr>
    </w:tbl>
    <w:p>
      <w:pPr>
        <w:pStyle w:val="49"/>
        <w:ind w:left="100" w:firstLine="0" w:firstLineChars="0"/>
        <w:rPr>
          <w:rFonts w:hint="default"/>
        </w:rPr>
      </w:pPr>
    </w:p>
    <w:p>
      <w:pPr>
        <w:pStyle w:val="49"/>
        <w:ind w:left="100" w:firstLine="0" w:firstLineChars="0"/>
        <w:rPr>
          <w:rFonts w:hint="default"/>
        </w:rPr>
      </w:pPr>
      <w:r>
        <w:rPr>
          <w:rFonts w:hint="eastAsia"/>
        </w:rPr>
        <w:t>　このような改修履歴を考慮した長寿命化計画（改修履歴考慮型）を以下に示します。</w:t>
      </w:r>
    </w:p>
    <w:p>
      <w:pPr>
        <w:pStyle w:val="49"/>
        <w:ind w:left="100" w:firstLine="0" w:firstLineChars="0"/>
        <w:rPr>
          <w:rFonts w:hint="default"/>
        </w:rPr>
      </w:pPr>
      <w:r>
        <w:rPr>
          <w:rFonts w:hint="eastAsia"/>
        </w:rPr>
        <w:t>　また、令和</w:t>
      </w:r>
      <w:r>
        <w:rPr>
          <w:rFonts w:hint="eastAsia"/>
        </w:rPr>
        <w:t>2</w:t>
      </w:r>
      <w:r>
        <w:rPr>
          <w:rFonts w:hint="eastAsia"/>
        </w:rPr>
        <w:t>年度より文部科学省が長寿命化改修を前提とした予防改修を創設したことから、この改修の項目を取り入れ検討していきます。</w:t>
      </w:r>
    </w:p>
    <w:p>
      <w:pPr>
        <w:pStyle w:val="49"/>
        <w:ind w:left="100" w:firstLine="0" w:firstLineChars="0"/>
        <w:rPr>
          <w:rFonts w:hint="default"/>
          <w:color w:val="FF0000"/>
        </w:rPr>
      </w:pPr>
    </w:p>
    <w:p>
      <w:pPr>
        <w:pStyle w:val="33"/>
        <w:ind w:left="100" w:leftChars="50"/>
        <w:rPr>
          <w:rFonts w:hint="default" w:ascii="ＭＳ Ｐゴシック" w:hAnsi="ＭＳ Ｐゴシック" w:eastAsia="ＭＳ Ｐゴシック"/>
          <w:b w:val="0"/>
          <w:color w:val="000000" w:themeColor="text1"/>
        </w:rPr>
      </w:pP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14</w:t>
      </w:r>
      <w:r>
        <w:rPr>
          <w:rFonts w:hint="eastAsia"/>
        </w:rPr>
        <w:fldChar w:fldCharType="end"/>
      </w:r>
      <w:r>
        <w:rPr>
          <w:rFonts w:hint="eastAsia" w:ascii="ＭＳ Ｐゴシック" w:hAnsi="ＭＳ Ｐゴシック" w:eastAsia="ＭＳ Ｐゴシック"/>
          <w:b w:val="0"/>
        </w:rPr>
        <w:t>　改修履歴を考慮した改修・改築の目安</w:t>
      </w:r>
    </w:p>
    <w:tbl>
      <w:tblPr>
        <w:tblStyle w:val="57"/>
        <w:tblW w:w="7087" w:type="dxa"/>
        <w:tblInd w:w="988" w:type="dxa"/>
        <w:tblLayout w:type="fixed"/>
        <w:tblLook w:firstRow="1" w:lastRow="0" w:firstColumn="1" w:lastColumn="0" w:noHBand="0" w:noVBand="1" w:val="04A0"/>
      </w:tblPr>
      <w:tblGrid>
        <w:gridCol w:w="1559"/>
        <w:gridCol w:w="5528"/>
      </w:tblGrid>
      <w:tr>
        <w:trPr/>
        <w:tc>
          <w:tcPr>
            <w:tcW w:w="1559" w:type="dxa"/>
            <w:shd w:val="clear" w:color="auto" w:themeFill="background1" w:themeFillTint="FF" w:themeFillShade="D9"/>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グループ</w:t>
            </w:r>
          </w:p>
        </w:tc>
        <w:tc>
          <w:tcPr>
            <w:tcW w:w="5528" w:type="dxa"/>
            <w:shd w:val="clear" w:color="auto" w:themeFill="background1" w:themeFillTint="FF" w:themeFillShade="D9"/>
            <w:vAlign w:val="center"/>
          </w:tcPr>
          <w:p>
            <w:pPr>
              <w:pStyle w:val="49"/>
              <w:ind w:left="400" w:leftChars="200" w:right="400" w:rightChars="20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改修・改築の目安</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①</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築後</w:t>
            </w:r>
            <w:r>
              <w:rPr>
                <w:rFonts w:hint="default" w:ascii="ＭＳ Ｐゴシック" w:hAnsi="ＭＳ Ｐゴシック" w:eastAsia="ＭＳ Ｐゴシック"/>
                <w:sz w:val="18"/>
              </w:rPr>
              <w:t>20</w:t>
            </w:r>
            <w:r>
              <w:rPr>
                <w:rFonts w:hint="default" w:ascii="ＭＳ Ｐゴシック" w:hAnsi="ＭＳ Ｐゴシック" w:eastAsia="ＭＳ Ｐゴシック"/>
                <w:sz w:val="18"/>
              </w:rPr>
              <w:t>年から</w:t>
            </w:r>
            <w:r>
              <w:rPr>
                <w:rFonts w:hint="eastAsia" w:ascii="ＭＳ Ｐゴシック" w:hAnsi="ＭＳ Ｐゴシック" w:eastAsia="ＭＳ Ｐゴシック"/>
                <w:sz w:val="18"/>
              </w:rPr>
              <w:t>4</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年未満で予防改修</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②</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改修後</w:t>
            </w:r>
            <w:r>
              <w:rPr>
                <w:rFonts w:hint="default" w:ascii="ＭＳ Ｐゴシック" w:hAnsi="ＭＳ Ｐゴシック" w:eastAsia="ＭＳ Ｐゴシック"/>
                <w:sz w:val="18"/>
              </w:rPr>
              <w:t>20</w:t>
            </w:r>
            <w:r>
              <w:rPr>
                <w:rFonts w:hint="default" w:ascii="ＭＳ Ｐゴシック" w:hAnsi="ＭＳ Ｐゴシック" w:eastAsia="ＭＳ Ｐゴシック"/>
                <w:sz w:val="18"/>
              </w:rPr>
              <w:t>年を目途に</w:t>
            </w:r>
            <w:r>
              <w:rPr>
                <w:rFonts w:hint="eastAsia" w:ascii="ＭＳ Ｐゴシック" w:hAnsi="ＭＳ Ｐゴシック" w:eastAsia="ＭＳ Ｐゴシック"/>
                <w:sz w:val="18"/>
              </w:rPr>
              <w:t>予防改修</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③</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改修後</w:t>
            </w:r>
            <w:r>
              <w:rPr>
                <w:rFonts w:hint="default" w:ascii="ＭＳ Ｐゴシック" w:hAnsi="ＭＳ Ｐゴシック" w:eastAsia="ＭＳ Ｐゴシック"/>
                <w:sz w:val="18"/>
              </w:rPr>
              <w:t>20</w:t>
            </w:r>
            <w:r>
              <w:rPr>
                <w:rFonts w:hint="default" w:ascii="ＭＳ Ｐゴシック" w:hAnsi="ＭＳ Ｐゴシック" w:eastAsia="ＭＳ Ｐゴシック"/>
                <w:sz w:val="18"/>
              </w:rPr>
              <w:t>年を目途に長寿命化改修</w:t>
            </w:r>
          </w:p>
        </w:tc>
      </w:tr>
      <w:tr>
        <w:trPr>
          <w:trHeight w:val="621" w:hRule="atLeast"/>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④</w:t>
            </w:r>
          </w:p>
        </w:tc>
        <w:tc>
          <w:tcPr>
            <w:tcW w:w="5528" w:type="dxa"/>
            <w:vAlign w:val="center"/>
          </w:tcPr>
          <w:p>
            <w:pPr>
              <w:pStyle w:val="49"/>
              <w:snapToGrid w:val="0"/>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築</w:t>
            </w:r>
            <w:r>
              <w:rPr>
                <w:rFonts w:hint="default" w:ascii="ＭＳ Ｐゴシック" w:hAnsi="ＭＳ Ｐゴシック" w:eastAsia="ＭＳ Ｐゴシック"/>
                <w:sz w:val="18"/>
              </w:rPr>
              <w:t>30</w:t>
            </w:r>
            <w:r>
              <w:rPr>
                <w:rFonts w:hint="default" w:ascii="ＭＳ Ｐゴシック" w:hAnsi="ＭＳ Ｐゴシック" w:eastAsia="ＭＳ Ｐゴシック"/>
                <w:sz w:val="18"/>
              </w:rPr>
              <w:t>年未満の建物は</w:t>
            </w:r>
            <w:r>
              <w:rPr>
                <w:rFonts w:hint="default" w:ascii="ＭＳ Ｐゴシック" w:hAnsi="ＭＳ Ｐゴシック" w:eastAsia="ＭＳ Ｐゴシック"/>
                <w:sz w:val="18"/>
              </w:rPr>
              <w:t>40</w:t>
            </w:r>
            <w:r>
              <w:rPr>
                <w:rFonts w:hint="default" w:ascii="ＭＳ Ｐゴシック" w:hAnsi="ＭＳ Ｐゴシック" w:eastAsia="ＭＳ Ｐゴシック"/>
                <w:sz w:val="18"/>
              </w:rPr>
              <w:t>年未満で</w:t>
            </w:r>
            <w:r>
              <w:rPr>
                <w:rFonts w:hint="eastAsia" w:ascii="ＭＳ Ｐゴシック" w:hAnsi="ＭＳ Ｐゴシック" w:eastAsia="ＭＳ Ｐゴシック"/>
                <w:sz w:val="18"/>
              </w:rPr>
              <w:t>予防改修</w:t>
            </w:r>
          </w:p>
          <w:p>
            <w:pPr>
              <w:pStyle w:val="49"/>
              <w:snapToGrid w:val="0"/>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築</w:t>
            </w:r>
            <w:r>
              <w:rPr>
                <w:rFonts w:hint="eastAsia" w:ascii="ＭＳ Ｐゴシック" w:hAnsi="ＭＳ Ｐゴシック" w:eastAsia="ＭＳ Ｐゴシック"/>
                <w:sz w:val="18"/>
              </w:rPr>
              <w:t>3</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年を超える建物は概ね築</w:t>
            </w:r>
            <w:r>
              <w:rPr>
                <w:rFonts w:hint="default" w:ascii="ＭＳ Ｐゴシック" w:hAnsi="ＭＳ Ｐゴシック" w:eastAsia="ＭＳ Ｐゴシック"/>
                <w:sz w:val="18"/>
              </w:rPr>
              <w:t>50</w:t>
            </w:r>
            <w:r>
              <w:rPr>
                <w:rFonts w:hint="default" w:ascii="ＭＳ Ｐゴシック" w:hAnsi="ＭＳ Ｐゴシック" w:eastAsia="ＭＳ Ｐゴシック"/>
                <w:sz w:val="18"/>
              </w:rPr>
              <w:t>年</w:t>
            </w:r>
            <w:r>
              <w:rPr>
                <w:rFonts w:hint="eastAsia" w:ascii="ＭＳ Ｐゴシック" w:hAnsi="ＭＳ Ｐゴシック" w:eastAsia="ＭＳ Ｐゴシック"/>
                <w:sz w:val="18"/>
              </w:rPr>
              <w:t>程度で</w:t>
            </w:r>
            <w:r>
              <w:rPr>
                <w:rFonts w:hint="default" w:ascii="ＭＳ Ｐゴシック" w:hAnsi="ＭＳ Ｐゴシック" w:eastAsia="ＭＳ Ｐゴシック"/>
                <w:sz w:val="18"/>
              </w:rPr>
              <w:t>長寿命化改修</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⑤</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今後</w:t>
            </w:r>
            <w:r>
              <w:rPr>
                <w:rFonts w:hint="eastAsia" w:ascii="ＭＳ Ｐゴシック" w:hAnsi="ＭＳ Ｐゴシック" w:eastAsia="ＭＳ Ｐゴシック"/>
                <w:sz w:val="18"/>
              </w:rPr>
              <w:t>1</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年を目途に長寿命化改修</w:t>
            </w:r>
          </w:p>
        </w:tc>
      </w:tr>
      <w:tr>
        <w:trPr/>
        <w:tc>
          <w:tcPr>
            <w:tcW w:w="1559" w:type="dxa"/>
            <w:vAlign w:val="center"/>
          </w:tcPr>
          <w:p>
            <w:pPr>
              <w:pStyle w:val="49"/>
              <w:ind w:left="0" w:leftChars="0" w:firstLine="0" w:firstLineChars="0"/>
              <w:jc w:val="center"/>
              <w:rPr>
                <w:rFonts w:hint="default" w:ascii="ＭＳ Ｐゴシック" w:hAnsi="ＭＳ Ｐゴシック" w:eastAsia="ＭＳ Ｐゴシック"/>
                <w:sz w:val="18"/>
              </w:rPr>
            </w:pPr>
            <w:r>
              <w:rPr>
                <w:rFonts w:hint="eastAsia" w:ascii="ＭＳ Ｐゴシック" w:hAnsi="ＭＳ Ｐゴシック" w:eastAsia="ＭＳ Ｐゴシック"/>
                <w:sz w:val="18"/>
              </w:rPr>
              <w:t>⑥</w:t>
            </w:r>
          </w:p>
        </w:tc>
        <w:tc>
          <w:tcPr>
            <w:tcW w:w="5528" w:type="dxa"/>
            <w:vAlign w:val="center"/>
          </w:tcPr>
          <w:p>
            <w:pPr>
              <w:pStyle w:val="49"/>
              <w:ind w:left="200" w:leftChars="100" w:right="200" w:rightChars="100" w:firstLine="0" w:firstLineChars="0"/>
              <w:jc w:val="both"/>
              <w:rPr>
                <w:rFonts w:hint="default" w:ascii="ＭＳ Ｐゴシック" w:hAnsi="ＭＳ Ｐゴシック" w:eastAsia="ＭＳ Ｐゴシック"/>
                <w:sz w:val="18"/>
              </w:rPr>
            </w:pPr>
            <w:r>
              <w:rPr>
                <w:rFonts w:hint="eastAsia" w:ascii="ＭＳ Ｐゴシック" w:hAnsi="ＭＳ Ｐゴシック" w:eastAsia="ＭＳ Ｐゴシック"/>
                <w:sz w:val="18"/>
              </w:rPr>
              <w:t>改修から</w:t>
            </w:r>
            <w:r>
              <w:rPr>
                <w:rFonts w:hint="eastAsia" w:ascii="ＭＳ Ｐゴシック" w:hAnsi="ＭＳ Ｐゴシック" w:eastAsia="ＭＳ Ｐゴシック"/>
                <w:sz w:val="18"/>
              </w:rPr>
              <w:t>2</w:t>
            </w:r>
            <w:r>
              <w:rPr>
                <w:rFonts w:hint="default" w:ascii="ＭＳ Ｐゴシック" w:hAnsi="ＭＳ Ｐゴシック" w:eastAsia="ＭＳ Ｐゴシック"/>
                <w:sz w:val="18"/>
              </w:rPr>
              <w:t>0</w:t>
            </w:r>
            <w:r>
              <w:rPr>
                <w:rFonts w:hint="eastAsia" w:ascii="ＭＳ Ｐゴシック" w:hAnsi="ＭＳ Ｐゴシック" w:eastAsia="ＭＳ Ｐゴシック"/>
                <w:sz w:val="18"/>
              </w:rPr>
              <w:t>年後に改築</w:t>
            </w:r>
          </w:p>
        </w:tc>
      </w:tr>
    </w:tbl>
    <w:p>
      <w:pPr>
        <w:pStyle w:val="49"/>
        <w:ind w:left="100" w:firstLine="0" w:firstLineChars="0"/>
        <w:jc w:val="both"/>
        <w:rPr>
          <w:rFonts w:hint="default"/>
        </w:rPr>
      </w:pPr>
      <w:r>
        <w:rPr>
          <w:rFonts w:hint="default"/>
        </w:rPr>
        <w:br w:type="page"/>
      </w:r>
      <w:r>
        <w:rPr>
          <w:rFonts w:hint="eastAsia"/>
        </w:rPr>
        <w:t>　ただし、西鳥取小学校は、直近</w:t>
      </w:r>
      <w:r>
        <w:rPr>
          <w:rFonts w:hint="eastAsia"/>
        </w:rPr>
        <w:t>1</w:t>
      </w:r>
      <w:r>
        <w:rPr>
          <w:rFonts w:hint="default"/>
        </w:rPr>
        <w:t>0</w:t>
      </w:r>
      <w:r>
        <w:rPr>
          <w:rFonts w:hint="eastAsia"/>
        </w:rPr>
        <w:t>年に大規模改造の履歴がありますが、現在概ね築</w:t>
      </w:r>
      <w:r>
        <w:rPr>
          <w:rFonts w:hint="eastAsia"/>
        </w:rPr>
        <w:t>5</w:t>
      </w:r>
      <w:r>
        <w:rPr>
          <w:rFonts w:hint="default"/>
        </w:rPr>
        <w:t>0</w:t>
      </w:r>
      <w:r>
        <w:rPr>
          <w:rFonts w:hint="eastAsia"/>
        </w:rPr>
        <w:t>年が経過し、健全度も低いことから改築を想定します。また、はあとり幼稚園についても令和２年度に大規模改造工事を実施していますが、次の改修周期の</w:t>
      </w:r>
      <w:r>
        <w:rPr>
          <w:rFonts w:hint="eastAsia"/>
        </w:rPr>
        <w:t>2</w:t>
      </w:r>
      <w:r>
        <w:rPr>
          <w:rFonts w:hint="default"/>
        </w:rPr>
        <w:t>0</w:t>
      </w:r>
      <w:r>
        <w:rPr>
          <w:rFonts w:hint="eastAsia"/>
        </w:rPr>
        <w:t>年後は築</w:t>
      </w:r>
      <w:r>
        <w:rPr>
          <w:rFonts w:hint="eastAsia"/>
        </w:rPr>
        <w:t>6</w:t>
      </w:r>
      <w:r>
        <w:rPr>
          <w:rFonts w:hint="default"/>
        </w:rPr>
        <w:t>5</w:t>
      </w:r>
      <w:r>
        <w:rPr>
          <w:rFonts w:hint="eastAsia"/>
        </w:rPr>
        <w:t>年を経過することから改築を想定します。</w:t>
      </w:r>
    </w:p>
    <w:p>
      <w:pPr>
        <w:pStyle w:val="49"/>
        <w:ind w:left="100" w:firstLine="0" w:firstLineChars="0"/>
        <w:jc w:val="both"/>
        <w:rPr>
          <w:rFonts w:hint="default"/>
        </w:rPr>
      </w:pPr>
      <w:r>
        <w:rPr>
          <w:rFonts w:hint="eastAsia"/>
        </w:rPr>
        <w:t>　給食センター施設についても、健全度も低く、設備の機能的劣化が今後進むことも考えられるので改築を想定します。</w:t>
      </w:r>
    </w:p>
    <w:p>
      <w:pPr>
        <w:pStyle w:val="49"/>
        <w:ind w:left="100" w:firstLine="0" w:firstLineChars="0"/>
        <w:jc w:val="both"/>
        <w:rPr>
          <w:rFonts w:hint="default"/>
        </w:rPr>
      </w:pPr>
      <w:r>
        <w:rPr>
          <w:rFonts w:hint="eastAsia"/>
        </w:rPr>
        <w:t>　トイレ整備については、これまで耐震化や統合整備に伴い改修や洋式化を進め、洋式化率は小学校で　</w:t>
      </w:r>
      <w:r>
        <w:rPr>
          <w:rFonts w:hint="eastAsia"/>
        </w:rPr>
        <w:t>81</w:t>
      </w:r>
      <w:r>
        <w:rPr>
          <w:rFonts w:hint="eastAsia"/>
        </w:rPr>
        <w:t>％、中学校で</w:t>
      </w:r>
      <w:r>
        <w:rPr>
          <w:rFonts w:hint="eastAsia"/>
        </w:rPr>
        <w:t>57</w:t>
      </w:r>
      <w:r>
        <w:rPr>
          <w:rFonts w:hint="eastAsia"/>
        </w:rPr>
        <w:t>％となっていますが、鳥取東中学校は、築</w:t>
      </w:r>
      <w:r>
        <w:rPr>
          <w:rFonts w:hint="eastAsia"/>
        </w:rPr>
        <w:t>3</w:t>
      </w:r>
      <w:r>
        <w:rPr>
          <w:rFonts w:hint="default"/>
        </w:rPr>
        <w:t>5</w:t>
      </w:r>
      <w:r>
        <w:rPr>
          <w:rFonts w:hint="eastAsia"/>
        </w:rPr>
        <w:t>年で洋式化率</w:t>
      </w:r>
      <w:r>
        <w:rPr>
          <w:rFonts w:hint="eastAsia"/>
        </w:rPr>
        <w:t>16</w:t>
      </w:r>
      <w:r>
        <w:rPr>
          <w:rFonts w:hint="eastAsia"/>
        </w:rPr>
        <w:t>％と低い数値となっており、老朽及び機能面で他校より環境が整っていない状況であり、今後優先して進めていく必要があります。</w:t>
      </w:r>
    </w:p>
    <w:p>
      <w:pPr>
        <w:pStyle w:val="49"/>
        <w:ind w:left="100" w:firstLine="0" w:firstLineChars="0"/>
        <w:jc w:val="both"/>
        <w:rPr>
          <w:rFonts w:hint="default"/>
        </w:rPr>
      </w:pPr>
      <w:r>
        <w:rPr>
          <w:rFonts w:hint="eastAsia"/>
        </w:rPr>
        <w:t>　その他、各学校の屋内運動場については、アリーナ天井照明の水銀ランプが</w:t>
      </w:r>
      <w:r>
        <w:rPr>
          <w:rFonts w:hint="eastAsia"/>
        </w:rPr>
        <w:t>2</w:t>
      </w:r>
      <w:r>
        <w:rPr>
          <w:rFonts w:hint="default"/>
        </w:rPr>
        <w:t>021</w:t>
      </w:r>
      <w:r>
        <w:rPr>
          <w:rFonts w:hint="eastAsia"/>
        </w:rPr>
        <w:t>年以降生産・輸入の禁止となったことから</w:t>
      </w:r>
      <w:r>
        <w:rPr>
          <w:rFonts w:hint="eastAsia"/>
        </w:rPr>
        <w:t>LED</w:t>
      </w:r>
      <w:r>
        <w:rPr>
          <w:rFonts w:hint="eastAsia"/>
        </w:rPr>
        <w:t>化を進めていくことも必要です。</w:t>
      </w:r>
    </w:p>
    <w:p>
      <w:pPr>
        <w:pStyle w:val="49"/>
        <w:ind w:left="100" w:firstLine="0" w:firstLineChars="0"/>
        <w:jc w:val="both"/>
        <w:rPr>
          <w:rFonts w:hint="default"/>
        </w:rPr>
      </w:pPr>
    </w:p>
    <w:p>
      <w:pPr>
        <w:pStyle w:val="49"/>
        <w:ind w:left="100" w:firstLine="0" w:firstLineChars="0"/>
        <w:jc w:val="both"/>
        <w:rPr>
          <w:rFonts w:hint="default"/>
        </w:rPr>
      </w:pPr>
      <w:r>
        <w:rPr>
          <w:rFonts w:hint="eastAsia"/>
        </w:rPr>
        <w:t>　以上のことより、改修履歴を考慮した長寿命化型の維持・更新コストを試算しました。</w:t>
      </w:r>
    </w:p>
    <w:p>
      <w:pPr>
        <w:pStyle w:val="49"/>
        <w:ind w:left="100" w:firstLine="0" w:firstLineChars="0"/>
        <w:jc w:val="both"/>
        <w:rPr>
          <w:rFonts w:hint="default"/>
        </w:rPr>
      </w:pPr>
      <w:r>
        <w:rPr>
          <w:rFonts w:hint="eastAsia"/>
        </w:rPr>
        <w:t>　今後</w:t>
      </w:r>
      <w:r>
        <w:rPr>
          <w:rFonts w:hint="eastAsia"/>
        </w:rPr>
        <w:t>4</w:t>
      </w:r>
      <w:r>
        <w:rPr>
          <w:rFonts w:hint="default"/>
        </w:rPr>
        <w:t>0</w:t>
      </w:r>
      <w:r>
        <w:rPr>
          <w:rFonts w:hint="eastAsia"/>
        </w:rPr>
        <w:t>年間の維持・更新コストは、</w:t>
      </w:r>
      <w:r>
        <w:rPr>
          <w:rFonts w:hint="eastAsia"/>
        </w:rPr>
        <w:t>2</w:t>
      </w:r>
      <w:r>
        <w:rPr>
          <w:rFonts w:hint="default"/>
        </w:rPr>
        <w:t>50</w:t>
      </w:r>
      <w:r>
        <w:rPr>
          <w:rFonts w:hint="eastAsia"/>
        </w:rPr>
        <w:t>億円（</w:t>
      </w:r>
      <w:r>
        <w:rPr>
          <w:rFonts w:hint="eastAsia"/>
        </w:rPr>
        <w:t>6</w:t>
      </w:r>
      <w:r>
        <w:rPr>
          <w:rFonts w:hint="default"/>
        </w:rPr>
        <w:t>.3</w:t>
      </w:r>
      <w:r>
        <w:rPr>
          <w:rFonts w:hint="eastAsia"/>
        </w:rPr>
        <w:t>億円</w:t>
      </w:r>
      <w:r>
        <w:rPr>
          <w:rFonts w:hint="eastAsia"/>
        </w:rPr>
        <w:t>/</w:t>
      </w:r>
      <w:r>
        <w:rPr>
          <w:rFonts w:hint="eastAsia"/>
        </w:rPr>
        <w:t>年）かかり、標準的な長寿命化型のコスト（</w:t>
      </w:r>
      <w:r>
        <w:rPr>
          <w:rFonts w:hint="eastAsia"/>
        </w:rPr>
        <w:t>3</w:t>
      </w:r>
      <w:r>
        <w:rPr>
          <w:rFonts w:hint="default"/>
        </w:rPr>
        <w:t>36</w:t>
      </w:r>
      <w:r>
        <w:rPr>
          <w:rFonts w:hint="eastAsia"/>
        </w:rPr>
        <w:t>億円（</w:t>
      </w:r>
      <w:r>
        <w:rPr>
          <w:rFonts w:hint="eastAsia"/>
        </w:rPr>
        <w:t>8</w:t>
      </w:r>
      <w:r>
        <w:rPr>
          <w:rFonts w:hint="default"/>
        </w:rPr>
        <w:t>.4</w:t>
      </w:r>
      <w:r>
        <w:rPr>
          <w:rFonts w:hint="eastAsia"/>
        </w:rPr>
        <w:t>億円</w:t>
      </w:r>
      <w:r>
        <w:rPr>
          <w:rFonts w:hint="eastAsia"/>
        </w:rPr>
        <w:t>/</w:t>
      </w:r>
      <w:r>
        <w:rPr>
          <w:rFonts w:hint="eastAsia"/>
        </w:rPr>
        <w:t>年）よりも、</w:t>
      </w:r>
      <w:r>
        <w:rPr>
          <w:rFonts w:hint="eastAsia"/>
        </w:rPr>
        <w:t>8</w:t>
      </w:r>
      <w:r>
        <w:rPr>
          <w:rFonts w:hint="default"/>
        </w:rPr>
        <w:t>6</w:t>
      </w:r>
      <w:r>
        <w:rPr>
          <w:rFonts w:hint="eastAsia"/>
        </w:rPr>
        <w:t>億円（</w:t>
      </w:r>
      <w:r>
        <w:rPr>
          <w:rFonts w:hint="eastAsia"/>
        </w:rPr>
        <w:t>2</w:t>
      </w:r>
      <w:r>
        <w:rPr>
          <w:rFonts w:hint="default"/>
        </w:rPr>
        <w:t>.1</w:t>
      </w:r>
      <w:r>
        <w:rPr>
          <w:rFonts w:hint="eastAsia"/>
        </w:rPr>
        <w:t>億円</w:t>
      </w:r>
      <w:r>
        <w:rPr>
          <w:rFonts w:hint="eastAsia"/>
        </w:rPr>
        <w:t>/</w:t>
      </w:r>
      <w:r>
        <w:rPr>
          <w:rFonts w:hint="eastAsia"/>
        </w:rPr>
        <w:t>年）の削減となります。</w:t>
      </w:r>
    </w:p>
    <w:p>
      <w:pPr>
        <w:pStyle w:val="49"/>
        <w:ind w:left="100" w:firstLine="0" w:firstLineChars="0"/>
        <w:jc w:val="both"/>
        <w:rPr>
          <w:rFonts w:hint="default"/>
        </w:rPr>
      </w:pPr>
      <w:r>
        <w:rPr>
          <w:rFonts w:hint="eastAsia"/>
        </w:rPr>
        <w:t>　ただし、</w:t>
      </w:r>
      <w:r>
        <w:rPr>
          <w:rFonts w:hint="eastAsia"/>
        </w:rPr>
        <w:t>2</w:t>
      </w:r>
      <w:r>
        <w:rPr>
          <w:rFonts w:hint="default"/>
        </w:rPr>
        <w:t>021</w:t>
      </w:r>
      <w:r>
        <w:rPr>
          <w:rFonts w:hint="eastAsia"/>
        </w:rPr>
        <w:t>年度（令和</w:t>
      </w:r>
      <w:r>
        <w:rPr>
          <w:rFonts w:hint="eastAsia"/>
        </w:rPr>
        <w:t>3</w:t>
      </w:r>
      <w:r>
        <w:rPr>
          <w:rFonts w:hint="eastAsia"/>
        </w:rPr>
        <w:t>年度）から</w:t>
      </w:r>
      <w:r>
        <w:rPr>
          <w:rFonts w:hint="eastAsia"/>
        </w:rPr>
        <w:t>9</w:t>
      </w:r>
      <w:r>
        <w:rPr>
          <w:rFonts w:hint="eastAsia"/>
        </w:rPr>
        <w:t>年間の大規模な改修は実施ないものの、</w:t>
      </w:r>
      <w:r>
        <w:rPr>
          <w:rFonts w:hint="eastAsia"/>
        </w:rPr>
        <w:t>2</w:t>
      </w:r>
      <w:r>
        <w:rPr>
          <w:rFonts w:hint="default"/>
        </w:rPr>
        <w:t>030</w:t>
      </w:r>
      <w:r>
        <w:rPr>
          <w:rFonts w:hint="eastAsia"/>
        </w:rPr>
        <w:t>年（令和</w:t>
      </w:r>
      <w:r>
        <w:rPr>
          <w:rFonts w:hint="eastAsia"/>
        </w:rPr>
        <w:t>1</w:t>
      </w:r>
      <w:r>
        <w:rPr>
          <w:rFonts w:hint="default"/>
        </w:rPr>
        <w:t>2</w:t>
      </w:r>
      <w:r>
        <w:rPr>
          <w:rFonts w:hint="eastAsia"/>
        </w:rPr>
        <w:t>年度）から長寿命化改修・予防改修・大規模改造が集中し、</w:t>
      </w:r>
      <w:r>
        <w:rPr>
          <w:rFonts w:hint="eastAsia"/>
        </w:rPr>
        <w:t>2</w:t>
      </w:r>
      <w:r>
        <w:rPr>
          <w:rFonts w:hint="default"/>
        </w:rPr>
        <w:t>030</w:t>
      </w:r>
      <w:r>
        <w:rPr>
          <w:rFonts w:hint="eastAsia"/>
        </w:rPr>
        <w:t>年度からの</w:t>
      </w:r>
      <w:r>
        <w:rPr>
          <w:rFonts w:hint="eastAsia"/>
        </w:rPr>
        <w:t>1</w:t>
      </w:r>
      <w:r>
        <w:rPr>
          <w:rFonts w:hint="default"/>
        </w:rPr>
        <w:t>0</w:t>
      </w:r>
      <w:r>
        <w:rPr>
          <w:rFonts w:hint="eastAsia"/>
        </w:rPr>
        <w:t>年間のコストは、</w:t>
      </w:r>
      <w:r>
        <w:rPr>
          <w:rFonts w:hint="eastAsia"/>
        </w:rPr>
        <w:t>1</w:t>
      </w:r>
      <w:r>
        <w:rPr>
          <w:rFonts w:hint="default"/>
        </w:rPr>
        <w:t>22</w:t>
      </w:r>
      <w:r>
        <w:rPr>
          <w:rFonts w:hint="eastAsia"/>
        </w:rPr>
        <w:t>億円となり財政状況を圧迫する可能性があります。</w:t>
      </w:r>
    </w:p>
    <w:p>
      <w:pPr>
        <w:pStyle w:val="49"/>
        <w:ind w:left="100" w:firstLine="0" w:firstLineChars="0"/>
        <w:jc w:val="both"/>
        <w:rPr>
          <w:rFonts w:hint="default"/>
        </w:rPr>
      </w:pPr>
    </w:p>
    <w:p>
      <w:pPr>
        <w:pStyle w:val="0"/>
        <w:widowControl w:val="1"/>
        <w:jc w:val="left"/>
        <w:rPr>
          <w:rFonts w:hint="default"/>
        </w:rPr>
      </w:pPr>
      <w:r>
        <w:rPr>
          <w:rFonts w:hint="default"/>
        </w:rPr>
        <w:br w:type="page"/>
      </w:r>
    </w:p>
    <w:p>
      <w:pPr>
        <w:pStyle w:val="49"/>
        <w:ind w:left="0" w:leftChars="0" w:firstLine="0" w:firstLineChars="0"/>
        <w:jc w:val="center"/>
        <w:rPr>
          <w:rFonts w:hint="default"/>
        </w:rPr>
      </w:pPr>
      <w:r>
        <w:rPr>
          <w:rFonts w:hint="default"/>
        </w:rPr>
        <w:drawing>
          <wp:inline distT="0" distB="0" distL="0" distR="0">
            <wp:extent cx="5669915" cy="3865880"/>
            <wp:effectExtent l="0" t="0" r="0" b="0"/>
            <wp:docPr id="1072" name="Picture 3"/>
            <a:graphic xmlns:a="http://schemas.openxmlformats.org/drawingml/2006/main">
              <a:graphicData uri="http://schemas.openxmlformats.org/drawingml/2006/picture">
                <pic:pic xmlns:pic="http://schemas.openxmlformats.org/drawingml/2006/picture">
                  <pic:nvPicPr>
                    <pic:cNvPr id="1072" name="Picture 3"/>
                    <pic:cNvPicPr>
                      <a:picLocks noChangeAspect="1" noChangeArrowheads="1"/>
                    </pic:cNvPicPr>
                  </pic:nvPicPr>
                  <pic:blipFill>
                    <a:blip r:embed="rId51"/>
                    <a:stretch>
                      <a:fillRect/>
                    </a:stretch>
                  </pic:blipFill>
                  <pic:spPr>
                    <a:xfrm>
                      <a:off x="0" y="0"/>
                      <a:ext cx="5669915" cy="3865880"/>
                    </a:xfrm>
                    <a:prstGeom prst="rect">
                      <a:avLst/>
                    </a:prstGeom>
                    <a:noFill/>
                    <a:ln>
                      <a:noFill/>
                    </a:ln>
                  </pic:spPr>
                </pic:pic>
              </a:graphicData>
            </a:graphic>
          </wp:inline>
        </w:drawing>
      </w:r>
    </w:p>
    <w:p>
      <w:pPr>
        <w:pStyle w:val="49"/>
        <w:snapToGrid w:val="0"/>
        <w:ind w:left="560" w:leftChars="200" w:right="200" w:rightChars="100" w:hanging="160" w:hangingChars="100"/>
        <w:jc w:val="both"/>
        <w:rPr>
          <w:rFonts w:hint="default" w:ascii="ＭＳ Ｐゴシック" w:hAnsi="ＭＳ Ｐゴシック" w:eastAsia="ＭＳ Ｐゴシック"/>
          <w:sz w:val="16"/>
        </w:rPr>
      </w:pPr>
      <w:r>
        <w:rPr>
          <w:rFonts w:hint="eastAsia" w:ascii="ＭＳ Ｐゴシック" w:hAnsi="ＭＳ Ｐゴシック" w:eastAsia="ＭＳ Ｐゴシック"/>
          <w:sz w:val="16"/>
        </w:rPr>
        <w:t>注）</w:t>
      </w:r>
      <w:r>
        <w:rPr>
          <w:rFonts w:hint="default" w:ascii="ＭＳ Ｐゴシック" w:hAnsi="ＭＳ Ｐゴシック" w:eastAsia="ＭＳ Ｐゴシック"/>
          <w:sz w:val="16"/>
        </w:rPr>
        <w:t>2020</w:t>
      </w:r>
      <w:r>
        <w:rPr>
          <w:rFonts w:hint="default" w:ascii="ＭＳ Ｐゴシック" w:hAnsi="ＭＳ Ｐゴシック" w:eastAsia="ＭＳ Ｐゴシック"/>
          <w:sz w:val="16"/>
        </w:rPr>
        <w:t>年度の施設整備費は、本計画の策定年度であり、当該年度の予算執行中により金額が確定していないため、</w:t>
      </w:r>
      <w:r>
        <w:rPr>
          <w:rFonts w:hint="default" w:ascii="ＭＳ Ｐゴシック" w:hAnsi="ＭＳ Ｐゴシック" w:eastAsia="ＭＳ Ｐゴシック"/>
          <w:sz w:val="16"/>
        </w:rPr>
        <w:t>2015</w:t>
      </w:r>
      <w:r>
        <w:rPr>
          <w:rFonts w:hint="default" w:ascii="ＭＳ Ｐゴシック" w:hAnsi="ＭＳ Ｐゴシック" w:eastAsia="ＭＳ Ｐゴシック"/>
          <w:sz w:val="16"/>
        </w:rPr>
        <w:t>年度から</w:t>
      </w:r>
      <w:r>
        <w:rPr>
          <w:rFonts w:hint="default" w:ascii="ＭＳ Ｐゴシック" w:hAnsi="ＭＳ Ｐゴシック" w:eastAsia="ＭＳ Ｐゴシック"/>
          <w:sz w:val="16"/>
        </w:rPr>
        <w:t>2019</w:t>
      </w:r>
      <w:r>
        <w:rPr>
          <w:rFonts w:hint="default" w:ascii="ＭＳ Ｐゴシック" w:hAnsi="ＭＳ Ｐゴシック" w:eastAsia="ＭＳ Ｐゴシック"/>
          <w:sz w:val="16"/>
        </w:rPr>
        <w:t>年度の実績の平均値を計上しています。</w:t>
      </w:r>
    </w:p>
    <w:p>
      <w:pPr>
        <w:pStyle w:val="49"/>
        <w:ind w:left="0" w:leftChars="0" w:firstLine="0" w:firstLineChars="0"/>
        <w:jc w:val="center"/>
        <w:rPr>
          <w:rFonts w:hint="default"/>
        </w:rPr>
      </w:pPr>
    </w:p>
    <w:p>
      <w:pPr>
        <w:pStyle w:val="49"/>
        <w:ind w:left="0" w:leftChars="0" w:firstLine="0" w:firstLineChars="0"/>
        <w:jc w:val="center"/>
        <w:rPr>
          <w:rFonts w:hint="default"/>
        </w:rPr>
      </w:pPr>
      <w:r>
        <w:rPr>
          <w:rFonts w:hint="default"/>
        </w:rPr>
        <w:drawing>
          <wp:inline distT="0" distB="0" distL="0" distR="0">
            <wp:extent cx="5670550" cy="4209415"/>
            <wp:effectExtent l="0" t="0" r="0" b="0"/>
            <wp:docPr id="1073" name="Picture 3"/>
            <a:graphic xmlns:a="http://schemas.openxmlformats.org/drawingml/2006/main">
              <a:graphicData uri="http://schemas.openxmlformats.org/drawingml/2006/picture">
                <pic:pic xmlns:pic="http://schemas.openxmlformats.org/drawingml/2006/picture">
                  <pic:nvPicPr>
                    <pic:cNvPr id="1073" name="Picture 3"/>
                    <pic:cNvPicPr>
                      <a:picLocks noChangeAspect="1" noChangeArrowheads="1"/>
                    </pic:cNvPicPr>
                  </pic:nvPicPr>
                  <pic:blipFill>
                    <a:blip r:embed="rId52"/>
                    <a:stretch>
                      <a:fillRect/>
                    </a:stretch>
                  </pic:blipFill>
                  <pic:spPr>
                    <a:xfrm>
                      <a:off x="0" y="0"/>
                      <a:ext cx="5670550" cy="4209415"/>
                    </a:xfrm>
                    <a:prstGeom prst="rect">
                      <a:avLst/>
                    </a:prstGeom>
                    <a:noFill/>
                    <a:ln>
                      <a:noFill/>
                    </a:ln>
                  </pic:spPr>
                </pic:pic>
              </a:graphicData>
            </a:graphic>
          </wp:inline>
        </w:drawing>
      </w:r>
    </w:p>
    <w:p>
      <w:pPr>
        <w:pStyle w:val="49"/>
        <w:ind w:left="0" w:leftChars="0" w:firstLine="0" w:firstLineChars="0"/>
        <w:jc w:val="center"/>
        <w:rPr>
          <w:rFonts w:hint="default" w:ascii="ＭＳ Ｐゴシック" w:hAnsi="ＭＳ Ｐゴシック" w:eastAsia="ＭＳ Ｐゴシック"/>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14</w:t>
      </w:r>
      <w:r>
        <w:rPr>
          <w:rFonts w:hint="eastAsia"/>
        </w:rPr>
        <w:fldChar w:fldCharType="end"/>
      </w:r>
      <w:r>
        <w:rPr>
          <w:rFonts w:hint="eastAsia" w:ascii="ＭＳ Ｐゴシック" w:hAnsi="ＭＳ Ｐゴシック" w:eastAsia="ＭＳ Ｐゴシック"/>
        </w:rPr>
        <w:t>　改修履歴を考慮した長寿命化型の維持・更新コストの試算結果</w:t>
      </w:r>
    </w:p>
    <w:p>
      <w:pPr>
        <w:pStyle w:val="49"/>
        <w:ind w:left="0" w:leftChars="0" w:firstLine="0" w:firstLineChars="0"/>
        <w:rPr>
          <w:rFonts w:hint="default" w:ascii="ＭＳ Ｐゴシック" w:hAnsi="ＭＳ Ｐゴシック" w:eastAsia="ＭＳ Ｐゴシック"/>
        </w:rPr>
      </w:pPr>
      <w:r>
        <w:rPr>
          <w:rFonts w:hint="default"/>
        </w:rPr>
        <w:br w:type="page"/>
      </w:r>
    </w:p>
    <w:p>
      <w:pPr>
        <w:pStyle w:val="2"/>
        <w:rPr>
          <w:rFonts w:hint="default"/>
        </w:rPr>
      </w:pPr>
      <w:r>
        <w:rPr>
          <w:rFonts w:hint="eastAsia"/>
        </w:rPr>
        <w:t>　</w:t>
      </w:r>
      <w:bookmarkStart w:id="38" w:name="_Toc73347198"/>
      <w:r>
        <w:rPr>
          <w:rFonts w:hint="eastAsia"/>
        </w:rPr>
        <w:t>学校規模適正化を図った場合の長寿命化型の維持・更新コスト</w:t>
      </w:r>
      <w:bookmarkEnd w:id="38"/>
    </w:p>
    <w:p>
      <w:pPr>
        <w:pStyle w:val="0"/>
        <w:spacing w:before="190" w:beforeLines="50" w:beforeAutospacing="0"/>
        <w:ind w:left="100" w:leftChars="50"/>
        <w:rPr>
          <w:rFonts w:hint="default"/>
        </w:rPr>
      </w:pPr>
      <w:r>
        <w:rPr>
          <w:rFonts w:hint="eastAsia"/>
        </w:rPr>
        <w:t>　前出の改修履歴を考慮した長寿命化型においても、年間の維持・更新コストの一定の削減効果と改修のピークを先にシフトすることができるが、改修履歴に加えて健全度により前後シフトさせたとしても大きな山は崩れないと思われます。やはり人口急増期に建設した建物の更新が大きな費用負担の要因と考えられます。</w:t>
      </w:r>
    </w:p>
    <w:p>
      <w:pPr>
        <w:pStyle w:val="0"/>
        <w:ind w:left="100" w:leftChars="50"/>
        <w:rPr>
          <w:rFonts w:hint="default"/>
        </w:rPr>
      </w:pPr>
      <w:r>
        <w:rPr>
          <w:rFonts w:hint="eastAsia"/>
        </w:rPr>
        <w:t>　人口急増期に建てられた多くの建物は、利用者である児童生徒数の今後の見込みを考察すると、すべての学校で毎年児童生徒数が減少していくことがわかります。</w:t>
      </w:r>
    </w:p>
    <w:p>
      <w:pPr>
        <w:pStyle w:val="0"/>
        <w:ind w:left="100" w:leftChars="50"/>
        <w:rPr>
          <w:rFonts w:hint="default"/>
        </w:rPr>
      </w:pPr>
      <w:r>
        <w:rPr>
          <w:rFonts w:hint="eastAsia"/>
        </w:rPr>
        <w:t>　児童数の減少量で見ると、舞小学校、東鳥取小学校及び桃の木台小学校の減少が顕著になっています。</w:t>
      </w:r>
    </w:p>
    <w:p>
      <w:pPr>
        <w:pStyle w:val="0"/>
        <w:ind w:left="100" w:leftChars="50"/>
        <w:rPr>
          <w:rFonts w:hint="default"/>
        </w:rPr>
      </w:pPr>
    </w:p>
    <w:p>
      <w:pPr>
        <w:pStyle w:val="0"/>
        <w:spacing w:before="190" w:beforeLines="50" w:beforeAutospacing="0"/>
        <w:ind w:left="100" w:leftChars="50"/>
        <w:jc w:val="center"/>
        <w:rPr>
          <w:rFonts w:hint="default"/>
        </w:rPr>
      </w:pPr>
      <w:r>
        <w:rPr>
          <w:rFonts w:hint="default"/>
        </w:rPr>
        <w:t xml:space="preserve"> </w:t>
      </w:r>
      <w:r>
        <w:rPr>
          <w:rFonts w:hint="default"/>
        </w:rPr>
        <w:drawing>
          <wp:inline distT="0" distB="0" distL="0" distR="0">
            <wp:extent cx="5669915" cy="4245610"/>
            <wp:effectExtent l="0" t="0" r="0" b="0"/>
            <wp:docPr id="1074" name="Picture 1"/>
            <a:graphic xmlns:a="http://schemas.openxmlformats.org/drawingml/2006/main">
              <a:graphicData uri="http://schemas.openxmlformats.org/drawingml/2006/picture">
                <pic:pic xmlns:pic="http://schemas.openxmlformats.org/drawingml/2006/picture">
                  <pic:nvPicPr>
                    <pic:cNvPr id="1074" name="Picture 1"/>
                    <pic:cNvPicPr>
                      <a:picLocks noChangeAspect="1" noChangeArrowheads="1"/>
                    </pic:cNvPicPr>
                  </pic:nvPicPr>
                  <pic:blipFill>
                    <a:blip r:embed="rId53"/>
                    <a:stretch>
                      <a:fillRect/>
                    </a:stretch>
                  </pic:blipFill>
                  <pic:spPr>
                    <a:xfrm>
                      <a:off x="0" y="0"/>
                      <a:ext cx="5669915" cy="4245610"/>
                    </a:xfrm>
                    <a:prstGeom prst="rect">
                      <a:avLst/>
                    </a:prstGeom>
                    <a:noFill/>
                    <a:ln>
                      <a:noFill/>
                    </a:ln>
                  </pic:spPr>
                </pic:pic>
              </a:graphicData>
            </a:graphic>
          </wp:inline>
        </w:drawing>
      </w:r>
    </w:p>
    <w:p>
      <w:pPr>
        <w:pStyle w:val="49"/>
        <w:ind w:left="100" w:firstLine="0" w:firstLineChars="0"/>
        <w:jc w:val="center"/>
        <w:rPr>
          <w:rFonts w:hint="default" w:ascii="ＭＳ Ｐゴシック" w:hAnsi="ＭＳ Ｐゴシック" w:eastAsia="ＭＳ Ｐゴシック"/>
        </w:rPr>
      </w:pPr>
      <w:r>
        <w:rPr>
          <w:rFonts w:hint="default" w:ascii="ＭＳ Ｐゴシック" w:hAnsi="ＭＳ Ｐゴシック" w:eastAsia="ＭＳ Ｐゴシック"/>
        </w:rPr>
        <w:t>図</w:t>
      </w:r>
      <w:r>
        <w:rPr>
          <w:rFonts w:hint="eastAsia"/>
        </w:rPr>
        <w:fldChar w:fldCharType="begin"/>
      </w:r>
      <w:r>
        <w:rPr>
          <w:rFonts w:hint="default" w:ascii="ＭＳ Ｐゴシック" w:hAnsi="ＭＳ Ｐゴシック" w:eastAsia="ＭＳ Ｐゴシック"/>
        </w:rPr>
        <w:instrText xml:space="preserve"> SEQ </w:instrText>
      </w:r>
      <w:r>
        <w:rPr>
          <w:rFonts w:hint="default" w:ascii="ＭＳ Ｐゴシック" w:hAnsi="ＭＳ Ｐゴシック" w:eastAsia="ＭＳ Ｐゴシック"/>
        </w:rPr>
        <w:instrText>図</w:instrText>
      </w:r>
      <w:r>
        <w:rPr>
          <w:rFonts w:hint="default" w:ascii="ＭＳ Ｐゴシック" w:hAnsi="ＭＳ Ｐゴシック" w:eastAsia="ＭＳ Ｐゴシック"/>
        </w:rPr>
        <w:instrText xml:space="preserve"> \* ARABIC </w:instrText>
      </w:r>
      <w:r>
        <w:rPr>
          <w:rFonts w:hint="eastAsia"/>
        </w:rPr>
        <w:fldChar w:fldCharType="separate"/>
      </w:r>
      <w:r>
        <w:rPr>
          <w:rFonts w:hint="default" w:ascii="ＭＳ Ｐゴシック" w:hAnsi="ＭＳ Ｐゴシック" w:eastAsia="ＭＳ Ｐゴシック"/>
        </w:rPr>
        <w:t>15</w:t>
      </w:r>
      <w:r>
        <w:rPr>
          <w:rFonts w:hint="eastAsia"/>
        </w:rPr>
        <w:fldChar w:fldCharType="end"/>
      </w:r>
      <w:r>
        <w:rPr>
          <w:rFonts w:hint="eastAsia" w:ascii="ＭＳ Ｐゴシック" w:hAnsi="ＭＳ Ｐゴシック" w:eastAsia="ＭＳ Ｐゴシック"/>
        </w:rPr>
        <w:t>　小学校における児童数の将来予測</w:t>
      </w:r>
    </w:p>
    <w:p>
      <w:pPr>
        <w:pStyle w:val="0"/>
        <w:ind w:left="100" w:leftChars="50"/>
        <w:rPr>
          <w:rFonts w:hint="default"/>
        </w:rPr>
      </w:pPr>
    </w:p>
    <w:p>
      <w:pPr>
        <w:pStyle w:val="0"/>
        <w:ind w:left="100" w:leftChars="50"/>
        <w:rPr>
          <w:rFonts w:hint="default"/>
        </w:rPr>
      </w:pPr>
    </w:p>
    <w:p>
      <w:pPr>
        <w:pStyle w:val="0"/>
        <w:ind w:left="100" w:leftChars="50"/>
        <w:rPr>
          <w:rFonts w:hint="default"/>
        </w:rPr>
      </w:pPr>
      <w:r>
        <w:rPr>
          <w:rFonts w:hint="eastAsia"/>
        </w:rPr>
        <w:t>　このような市全体で人口減少高齢化が進む中、阪南市では平成</w:t>
      </w:r>
      <w:r>
        <w:rPr>
          <w:rFonts w:hint="eastAsia"/>
        </w:rPr>
        <w:t>2</w:t>
      </w:r>
      <w:r>
        <w:rPr>
          <w:rFonts w:hint="default"/>
        </w:rPr>
        <w:t>8</w:t>
      </w:r>
      <w:r>
        <w:rPr>
          <w:rFonts w:hint="eastAsia"/>
        </w:rPr>
        <w:t>年に「阪南市公共施設等総合管理計画」を策定し、公共施設の適正管理の数値目標を設定しています。</w:t>
      </w:r>
    </w:p>
    <w:p>
      <w:pPr>
        <w:pStyle w:val="0"/>
        <w:ind w:left="100" w:leftChars="50"/>
        <w:rPr>
          <w:rFonts w:hint="default"/>
        </w:rPr>
      </w:pPr>
      <w:r>
        <w:rPr>
          <w:rFonts w:hint="eastAsia"/>
        </w:rPr>
        <w:t>　この計画では、建物の効率的維持管理を目的とし「市が保有する公共施設の総量（延床面積）を</w:t>
      </w:r>
      <w:r>
        <w:rPr>
          <w:rFonts w:hint="eastAsia"/>
        </w:rPr>
        <w:t>2</w:t>
      </w:r>
      <w:r>
        <w:rPr>
          <w:rFonts w:hint="default"/>
        </w:rPr>
        <w:t>045</w:t>
      </w:r>
      <w:r>
        <w:rPr>
          <w:rFonts w:hint="eastAsia"/>
        </w:rPr>
        <w:t>年度までに</w:t>
      </w:r>
      <w:r>
        <w:rPr>
          <w:rFonts w:hint="eastAsia"/>
        </w:rPr>
        <w:t>3</w:t>
      </w:r>
      <w:r>
        <w:rPr>
          <w:rFonts w:hint="default"/>
        </w:rPr>
        <w:t>2</w:t>
      </w:r>
      <w:r>
        <w:rPr>
          <w:rFonts w:hint="eastAsia"/>
        </w:rPr>
        <w:t>％以上削減すること」を目標に掲げています。</w:t>
      </w:r>
    </w:p>
    <w:p>
      <w:pPr>
        <w:pStyle w:val="0"/>
        <w:ind w:left="100" w:leftChars="50"/>
        <w:rPr>
          <w:rFonts w:hint="default"/>
        </w:rPr>
      </w:pPr>
      <w:r>
        <w:rPr>
          <w:rFonts w:hint="eastAsia"/>
        </w:rPr>
        <w:t>　学校施設においても、「阪南市小中学校及び幼稚園の整理統合・整備計画」を平成</w:t>
      </w:r>
      <w:r>
        <w:rPr>
          <w:rFonts w:hint="eastAsia"/>
        </w:rPr>
        <w:t>1</w:t>
      </w:r>
      <w:r>
        <w:rPr>
          <w:rFonts w:hint="default"/>
        </w:rPr>
        <w:t>8</w:t>
      </w:r>
      <w:r>
        <w:rPr>
          <w:rFonts w:hint="eastAsia"/>
        </w:rPr>
        <w:t>年に作成し、少子化に伴う教育環境の改善として総合事業を進め、施設の保有量についてこれまでも削減してきました。</w:t>
      </w:r>
    </w:p>
    <w:p>
      <w:pPr>
        <w:pStyle w:val="0"/>
        <w:widowControl w:val="1"/>
        <w:jc w:val="left"/>
        <w:rPr>
          <w:rFonts w:hint="default"/>
        </w:rPr>
      </w:pPr>
    </w:p>
    <w:p>
      <w:pPr>
        <w:pStyle w:val="33"/>
        <w:ind w:left="100" w:leftChars="50"/>
        <w:rPr>
          <w:rFonts w:hint="default" w:ascii="ＭＳ Ｐゴシック" w:hAnsi="ＭＳ Ｐゴシック" w:eastAsia="ＭＳ Ｐゴシック"/>
          <w:b w:val="0"/>
        </w:rPr>
      </w:pPr>
      <w:r>
        <w:rPr>
          <w:rFonts w:hint="default"/>
        </w:rPr>
        <w:drawing>
          <wp:anchor distT="0" distB="0" distL="114300" distR="114300" simplePos="0" relativeHeight="52" behindDoc="0" locked="0" layoutInCell="1" hidden="0" allowOverlap="1">
            <wp:simplePos x="0" y="0"/>
            <wp:positionH relativeFrom="margin">
              <wp:align>left</wp:align>
            </wp:positionH>
            <wp:positionV relativeFrom="paragraph">
              <wp:posOffset>-610870</wp:posOffset>
            </wp:positionV>
            <wp:extent cx="4418965" cy="6254115"/>
            <wp:effectExtent l="0" t="0" r="0" b="0"/>
            <wp:wrapSquare wrapText="bothSides"/>
            <wp:docPr id="1075" name="保有面積経過 6月4日訂正.jpg"/>
            <a:graphic xmlns:a="http://schemas.openxmlformats.org/drawingml/2006/main">
              <a:graphicData uri="http://schemas.openxmlformats.org/drawingml/2006/picture">
                <pic:pic xmlns:pic="http://schemas.openxmlformats.org/drawingml/2006/picture">
                  <pic:nvPicPr>
                    <pic:cNvPr id="1075" name="保有面積経過 6月4日訂正.jpg"/>
                    <pic:cNvPicPr/>
                  </pic:nvPicPr>
                  <pic:blipFill>
                    <a:blip r:embed="rId54"/>
                    <a:stretch>
                      <a:fillRect/>
                    </a:stretch>
                  </pic:blipFill>
                  <pic:spPr>
                    <a:xfrm rot="5400000">
                      <a:off x="0" y="0"/>
                      <a:ext cx="4418965" cy="6254115"/>
                    </a:xfrm>
                    <a:prstGeom prst="rect">
                      <a:avLst/>
                    </a:prstGeom>
                  </pic:spPr>
                </pic:pic>
              </a:graphicData>
            </a:graphic>
          </wp:anchor>
        </w:drawing>
      </w:r>
      <w:r>
        <w:rPr>
          <w:rFonts w:hint="default" w:ascii="ＭＳ Ｐゴシック" w:hAnsi="ＭＳ Ｐゴシック" w:eastAsia="ＭＳ Ｐゴシック"/>
          <w:b w:val="0"/>
        </w:rPr>
        <w:t>表</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表</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15</w:t>
      </w:r>
      <w:r>
        <w:rPr>
          <w:rFonts w:hint="eastAsia"/>
        </w:rPr>
        <w:fldChar w:fldCharType="end"/>
      </w:r>
      <w:r>
        <w:rPr>
          <w:rFonts w:hint="eastAsia" w:ascii="ＭＳ Ｐゴシック" w:hAnsi="ＭＳ Ｐゴシック" w:eastAsia="ＭＳ Ｐゴシック"/>
          <w:b w:val="0"/>
        </w:rPr>
        <w:t>　公共施設総合管理計画策定からの保有面積の経過</w:t>
      </w:r>
    </w:p>
    <w:p>
      <w:pPr>
        <w:pStyle w:val="0"/>
        <w:rPr>
          <w:rFonts w:hint="default"/>
        </w:rPr>
      </w:pPr>
    </w:p>
    <w:p>
      <w:pPr>
        <w:pStyle w:val="0"/>
        <w:rPr>
          <w:rFonts w:hint="default"/>
        </w:rPr>
      </w:pPr>
    </w:p>
    <w:p>
      <w:pPr>
        <w:pStyle w:val="0"/>
        <w:ind w:left="100" w:leftChars="50"/>
        <w:rPr>
          <w:rFonts w:hint="default"/>
        </w:rPr>
      </w:pPr>
      <w:r>
        <w:rPr>
          <w:rFonts w:hint="eastAsia"/>
        </w:rPr>
        <w:t>　「阪南市公共施設等総合管理計画」策定時の学校施設の保有面積は</w:t>
      </w:r>
      <w:r>
        <w:rPr>
          <w:rFonts w:hint="default"/>
        </w:rPr>
        <w:t>84,994</w:t>
      </w:r>
      <w:r>
        <w:rPr>
          <w:rFonts w:hint="default"/>
        </w:rPr>
        <w:t>㎡でしたが</w:t>
      </w:r>
      <w:r>
        <w:rPr>
          <w:rFonts w:hint="eastAsia"/>
        </w:rPr>
        <w:t>、令和</w:t>
      </w:r>
      <w:r>
        <w:rPr>
          <w:rFonts w:hint="eastAsia"/>
        </w:rPr>
        <w:t>2</w:t>
      </w:r>
      <w:r>
        <w:rPr>
          <w:rFonts w:hint="eastAsia"/>
        </w:rPr>
        <w:t>年度（</w:t>
      </w:r>
      <w:r>
        <w:rPr>
          <w:rFonts w:hint="eastAsia"/>
        </w:rPr>
        <w:t>2</w:t>
      </w:r>
      <w:r>
        <w:rPr>
          <w:rFonts w:hint="default"/>
        </w:rPr>
        <w:t>020</w:t>
      </w:r>
      <w:r>
        <w:rPr>
          <w:rFonts w:hint="eastAsia"/>
        </w:rPr>
        <w:t>年度）末には</w:t>
      </w:r>
      <w:r>
        <w:rPr>
          <w:rFonts w:hint="eastAsia"/>
        </w:rPr>
        <w:t>7</w:t>
      </w:r>
      <w:r>
        <w:rPr>
          <w:rFonts w:hint="default"/>
        </w:rPr>
        <w:t>2</w:t>
      </w:r>
      <w:r>
        <w:rPr>
          <w:rFonts w:hint="eastAsia"/>
        </w:rPr>
        <w:t>,523</w:t>
      </w:r>
      <w:r>
        <w:rPr>
          <w:rFonts w:hint="eastAsia"/>
        </w:rPr>
        <w:t>㎡であり、この間、約</w:t>
      </w:r>
      <w:r>
        <w:rPr>
          <w:rFonts w:hint="eastAsia"/>
        </w:rPr>
        <w:t>1</w:t>
      </w:r>
      <w:r>
        <w:rPr>
          <w:rFonts w:hint="default"/>
        </w:rPr>
        <w:t>2</w:t>
      </w:r>
      <w:r>
        <w:rPr>
          <w:rFonts w:hint="eastAsia"/>
        </w:rPr>
        <w:t>,471</w:t>
      </w:r>
      <w:r>
        <w:rPr>
          <w:rFonts w:hint="eastAsia"/>
        </w:rPr>
        <w:t>㎡で</w:t>
      </w:r>
      <w:r>
        <w:rPr>
          <w:rFonts w:hint="eastAsia"/>
        </w:rPr>
        <w:t>1</w:t>
      </w:r>
      <w:r>
        <w:rPr>
          <w:rFonts w:hint="default"/>
        </w:rPr>
        <w:t>5</w:t>
      </w:r>
      <w:r>
        <w:rPr>
          <w:rFonts w:hint="eastAsia"/>
        </w:rPr>
        <w:t>％の削減を達成しています。</w:t>
      </w:r>
    </w:p>
    <w:p>
      <w:pPr>
        <w:pStyle w:val="0"/>
        <w:ind w:left="100" w:leftChars="50"/>
        <w:rPr>
          <w:rFonts w:hint="default"/>
        </w:rPr>
      </w:pPr>
      <w:r>
        <w:rPr>
          <w:rFonts w:hint="eastAsia"/>
        </w:rPr>
        <w:t>　計画目標である</w:t>
      </w:r>
      <w:r>
        <w:rPr>
          <w:rFonts w:hint="default"/>
        </w:rPr>
        <w:t>32</w:t>
      </w:r>
      <w:r>
        <w:rPr>
          <w:rFonts w:hint="eastAsia"/>
        </w:rPr>
        <w:t>％（</w:t>
      </w:r>
      <w:r>
        <w:rPr>
          <w:rFonts w:hint="eastAsia"/>
        </w:rPr>
        <w:t>2</w:t>
      </w:r>
      <w:r>
        <w:rPr>
          <w:rFonts w:hint="default"/>
        </w:rPr>
        <w:t>7</w:t>
      </w:r>
      <w:r>
        <w:rPr>
          <w:rFonts w:hint="eastAsia"/>
        </w:rPr>
        <w:t>,198</w:t>
      </w:r>
      <w:r>
        <w:rPr>
          <w:rFonts w:hint="eastAsia"/>
        </w:rPr>
        <w:t>㎡）の削減には、今後約</w:t>
      </w:r>
      <w:r>
        <w:rPr>
          <w:rFonts w:hint="eastAsia"/>
        </w:rPr>
        <w:t>2</w:t>
      </w:r>
      <w:r>
        <w:rPr>
          <w:rFonts w:hint="default"/>
        </w:rPr>
        <w:t>5</w:t>
      </w:r>
      <w:r>
        <w:rPr>
          <w:rFonts w:hint="eastAsia"/>
        </w:rPr>
        <w:t>年間で約</w:t>
      </w:r>
      <w:r>
        <w:rPr>
          <w:rFonts w:hint="eastAsia"/>
        </w:rPr>
        <w:t>1</w:t>
      </w:r>
      <w:r>
        <w:rPr>
          <w:rFonts w:hint="default"/>
        </w:rPr>
        <w:t>4</w:t>
      </w:r>
      <w:r>
        <w:rPr>
          <w:rFonts w:hint="eastAsia"/>
        </w:rPr>
        <w:t>,727</w:t>
      </w:r>
      <w:r>
        <w:rPr>
          <w:rFonts w:hint="eastAsia"/>
        </w:rPr>
        <w:t>㎡の削減が必要となります。</w:t>
      </w:r>
    </w:p>
    <w:p>
      <w:pPr>
        <w:pStyle w:val="0"/>
        <w:ind w:left="100" w:leftChars="50"/>
        <w:rPr>
          <w:rFonts w:hint="default"/>
        </w:rPr>
      </w:pPr>
      <w:r>
        <w:rPr>
          <w:rFonts w:hint="eastAsia"/>
        </w:rPr>
        <w:t>　この面積について、今後</w:t>
      </w:r>
      <w:r>
        <w:rPr>
          <w:rFonts w:hint="eastAsia"/>
        </w:rPr>
        <w:t>4</w:t>
      </w:r>
      <w:r>
        <w:rPr>
          <w:rFonts w:hint="default"/>
        </w:rPr>
        <w:t>0</w:t>
      </w:r>
      <w:r>
        <w:rPr>
          <w:rFonts w:hint="eastAsia"/>
        </w:rPr>
        <w:t>年間に長寿命化改修を実施しないと仮定した場合、約</w:t>
      </w:r>
      <w:r>
        <w:rPr>
          <w:rFonts w:hint="eastAsia"/>
        </w:rPr>
        <w:t>29</w:t>
      </w:r>
      <w:r>
        <w:rPr>
          <w:rFonts w:hint="eastAsia"/>
        </w:rPr>
        <w:t>億円（改修単価より）のコスト削減と試算できます。</w:t>
      </w:r>
    </w:p>
    <w:p>
      <w:pPr>
        <w:pStyle w:val="0"/>
        <w:ind w:left="100" w:leftChars="50"/>
        <w:rPr>
          <w:rFonts w:hint="default"/>
        </w:rPr>
      </w:pPr>
      <w:r>
        <w:rPr>
          <w:rFonts w:hint="eastAsia"/>
        </w:rPr>
        <w:t>　今後は、目標値に向けての集約化等に取り組んでいくことが必要です。</w:t>
      </w:r>
    </w:p>
    <w:p>
      <w:pPr>
        <w:pStyle w:val="0"/>
        <w:ind w:left="100" w:leftChars="50"/>
        <w:rPr>
          <w:rFonts w:hint="default"/>
        </w:rPr>
      </w:pPr>
      <w:r>
        <w:rPr>
          <w:rFonts w:hint="eastAsia"/>
        </w:rPr>
        <w:t>　参考として、令和</w:t>
      </w:r>
      <w:r>
        <w:rPr>
          <w:rFonts w:hint="eastAsia"/>
        </w:rPr>
        <w:t>4</w:t>
      </w:r>
      <w:r>
        <w:rPr>
          <w:rFonts w:hint="eastAsia"/>
        </w:rPr>
        <w:t>年</w:t>
      </w:r>
      <w:r>
        <w:rPr>
          <w:rFonts w:hint="eastAsia"/>
        </w:rPr>
        <w:t>4</w:t>
      </w:r>
      <w:r>
        <w:rPr>
          <w:rFonts w:hint="eastAsia"/>
        </w:rPr>
        <w:t>月</w:t>
      </w:r>
      <w:r>
        <w:rPr>
          <w:rFonts w:hint="eastAsia"/>
        </w:rPr>
        <w:t xml:space="preserve"> </w:t>
      </w:r>
      <w:r>
        <w:rPr>
          <w:rFonts w:hint="eastAsia"/>
        </w:rPr>
        <w:t>尾崎幼稚園と朝日幼稚園の集約化・統廃合を加味すれば削減率は</w:t>
      </w:r>
      <w:r>
        <w:rPr>
          <w:rFonts w:hint="eastAsia"/>
        </w:rPr>
        <w:t>16</w:t>
      </w:r>
      <w:r>
        <w:rPr>
          <w:rFonts w:hint="eastAsia"/>
        </w:rPr>
        <w:t>％となり、残りの削減量は</w:t>
      </w:r>
      <w:r>
        <w:rPr>
          <w:rFonts w:hint="eastAsia"/>
        </w:rPr>
        <w:t>1</w:t>
      </w:r>
      <w:r>
        <w:rPr>
          <w:rFonts w:hint="default"/>
        </w:rPr>
        <w:t>3</w:t>
      </w:r>
      <w:r>
        <w:rPr>
          <w:rFonts w:hint="eastAsia"/>
        </w:rPr>
        <w:t>,240</w:t>
      </w:r>
      <w:r>
        <w:rPr>
          <w:rFonts w:hint="eastAsia"/>
        </w:rPr>
        <w:t>㎡となります。</w:t>
      </w:r>
    </w:p>
    <w:p>
      <w:pPr>
        <w:pStyle w:val="0"/>
        <w:ind w:left="100" w:leftChars="50"/>
        <w:rPr>
          <w:rFonts w:hint="default"/>
        </w:rPr>
      </w:pPr>
      <w:r>
        <w:rPr>
          <w:rFonts w:hint="eastAsia"/>
        </w:rPr>
        <w:t>　今後の策定時からの</w:t>
      </w:r>
      <w:r>
        <w:rPr>
          <w:rFonts w:hint="eastAsia"/>
        </w:rPr>
        <w:t>3</w:t>
      </w:r>
      <w:r>
        <w:rPr>
          <w:rFonts w:hint="default"/>
        </w:rPr>
        <w:t>2</w:t>
      </w:r>
      <w:r>
        <w:rPr>
          <w:rFonts w:hint="eastAsia"/>
        </w:rPr>
        <w:t>％の取り組みですが、集約により教育環境の悪化をもたらさないためにも、児童生徒数の減少を考慮した集約化を進める必要があります。</w:t>
      </w:r>
    </w:p>
    <w:p>
      <w:pPr>
        <w:pStyle w:val="0"/>
        <w:ind w:left="100" w:leftChars="50"/>
        <w:rPr>
          <w:rFonts w:hint="default"/>
        </w:rPr>
      </w:pPr>
    </w:p>
    <w:p>
      <w:pPr>
        <w:pStyle w:val="0"/>
        <w:ind w:left="100" w:leftChars="50"/>
        <w:rPr>
          <w:rFonts w:hint="default"/>
        </w:rPr>
      </w:pPr>
      <w:r>
        <w:rPr>
          <w:rFonts w:hint="eastAsia"/>
        </w:rPr>
        <w:t>　コスト管理の視点では、長寿命化改修のピークが始まる</w:t>
      </w:r>
      <w:r>
        <w:rPr>
          <w:rFonts w:hint="eastAsia"/>
        </w:rPr>
        <w:t>2</w:t>
      </w:r>
      <w:r>
        <w:rPr>
          <w:rFonts w:hint="default"/>
        </w:rPr>
        <w:t>030</w:t>
      </w:r>
      <w:r>
        <w:rPr>
          <w:rFonts w:hint="eastAsia"/>
        </w:rPr>
        <w:t>年度以降については、集約化を図る必要が生じますが、その時点での児童生徒数見込みを慎重に検討し、</w:t>
      </w:r>
      <w:r>
        <w:rPr>
          <w:rFonts w:hint="eastAsia"/>
        </w:rPr>
        <w:t>2</w:t>
      </w:r>
      <w:r>
        <w:rPr>
          <w:rFonts w:hint="default"/>
        </w:rPr>
        <w:t>020</w:t>
      </w:r>
      <w:r>
        <w:rPr>
          <w:rFonts w:hint="eastAsia"/>
        </w:rPr>
        <w:t>年代に新たな集約化計画に取り組んでいく必要があります。</w:t>
      </w:r>
    </w:p>
    <w:p>
      <w:pPr>
        <w:pStyle w:val="0"/>
        <w:ind w:left="100" w:leftChars="50"/>
        <w:rPr>
          <w:rFonts w:hint="default"/>
        </w:rPr>
      </w:pPr>
      <w:r>
        <w:rPr>
          <w:rFonts w:hint="eastAsia"/>
        </w:rPr>
        <w:t>　今後、集約化を進めることにより、「阪南市公共施設等総合管理計画」の目標値である</w:t>
      </w:r>
      <w:r>
        <w:rPr>
          <w:rFonts w:hint="eastAsia"/>
        </w:rPr>
        <w:t>3</w:t>
      </w:r>
      <w:r>
        <w:rPr>
          <w:rFonts w:hint="default"/>
        </w:rPr>
        <w:t>2</w:t>
      </w:r>
      <w:r>
        <w:rPr>
          <w:rFonts w:hint="eastAsia"/>
        </w:rPr>
        <w:t>％を達成した場合、今後</w:t>
      </w:r>
      <w:r>
        <w:rPr>
          <w:rFonts w:hint="eastAsia"/>
        </w:rPr>
        <w:t>4</w:t>
      </w:r>
      <w:r>
        <w:rPr>
          <w:rFonts w:hint="default"/>
        </w:rPr>
        <w:t>0</w:t>
      </w:r>
      <w:r>
        <w:rPr>
          <w:rFonts w:hint="eastAsia"/>
        </w:rPr>
        <w:t>年間の維持・更新コストとして、改修履歴を考慮した長寿命化型より、</w:t>
      </w:r>
      <w:r>
        <w:rPr>
          <w:rFonts w:hint="eastAsia"/>
        </w:rPr>
        <w:t>26.2</w:t>
      </w:r>
      <w:r>
        <w:rPr>
          <w:rFonts w:hint="eastAsia"/>
        </w:rPr>
        <w:t>億円のコスト削減が見込まれます。</w:t>
      </w:r>
    </w:p>
    <w:p>
      <w:pPr>
        <w:pStyle w:val="0"/>
        <w:widowControl w:val="1"/>
        <w:jc w:val="left"/>
        <w:rPr>
          <w:rFonts w:hint="default"/>
        </w:rPr>
      </w:pPr>
    </w:p>
    <w:p>
      <w:pPr>
        <w:pStyle w:val="1"/>
        <w:rPr>
          <w:rFonts w:hint="default"/>
        </w:rPr>
      </w:pPr>
      <w:r>
        <w:rPr>
          <w:rFonts w:hint="eastAsia"/>
        </w:rPr>
        <w:t>　</w:t>
      </w:r>
      <w:bookmarkStart w:id="39" w:name="_Toc73347199"/>
      <w:r>
        <w:rPr>
          <w:rFonts w:hint="eastAsia"/>
        </w:rPr>
        <w:t>長寿命化計画の継続的運用方針</w:t>
      </w:r>
      <w:bookmarkEnd w:id="39"/>
    </w:p>
    <w:p>
      <w:pPr>
        <w:pStyle w:val="0"/>
        <w:rPr>
          <w:rFonts w:hint="default"/>
        </w:rPr>
      </w:pPr>
    </w:p>
    <w:p>
      <w:pPr>
        <w:pStyle w:val="2"/>
        <w:rPr>
          <w:rFonts w:hint="default"/>
        </w:rPr>
      </w:pPr>
      <w:r>
        <w:rPr>
          <w:rFonts w:hint="eastAsia"/>
        </w:rPr>
        <w:t>　</w:t>
      </w:r>
      <w:bookmarkStart w:id="40" w:name="_Toc73347200"/>
      <w:r>
        <w:rPr>
          <w:rFonts w:hint="eastAsia"/>
        </w:rPr>
        <w:t>情報基盤の整備と活用</w:t>
      </w:r>
      <w:bookmarkEnd w:id="40"/>
    </w:p>
    <w:p>
      <w:pPr>
        <w:pStyle w:val="49"/>
        <w:ind w:left="100" w:firstLine="0" w:firstLineChars="0"/>
        <w:rPr>
          <w:rFonts w:hint="default"/>
        </w:rPr>
      </w:pPr>
    </w:p>
    <w:p>
      <w:pPr>
        <w:pStyle w:val="49"/>
        <w:ind w:left="100" w:firstLine="0" w:firstLineChars="0"/>
        <w:rPr>
          <w:rFonts w:hint="default"/>
        </w:rPr>
      </w:pPr>
      <w:r>
        <w:rPr>
          <w:rFonts w:hint="eastAsia"/>
        </w:rPr>
        <w:t>　施設の基礎情報やこれまでの整備内容、法定・自主点検の結果等は、保守記録によるデータベース化を行うことで、今後の修繕・改修計画で有効的に活用することができます。</w:t>
      </w:r>
    </w:p>
    <w:p>
      <w:pPr>
        <w:pStyle w:val="49"/>
        <w:ind w:left="100" w:firstLine="0" w:firstLineChars="0"/>
        <w:rPr>
          <w:rFonts w:hint="default"/>
        </w:rPr>
      </w:pPr>
      <w:r>
        <w:rPr>
          <w:rFonts w:hint="eastAsia"/>
        </w:rPr>
        <w:t>　本計画にあたり、作成した劣化状況調査票、劣化写真帳、および劣化箇所図を下図に示します。今後においても、必要な情報を定期的に更新し、一元管理していくことが重要となります。</w:t>
      </w:r>
    </w:p>
    <w:p>
      <w:pPr>
        <w:pStyle w:val="49"/>
        <w:ind w:left="100" w:firstLine="0" w:firstLineChars="0"/>
        <w:rPr>
          <w:rFonts w:hint="default"/>
        </w:rPr>
      </w:pPr>
    </w:p>
    <w:p>
      <w:pPr>
        <w:pStyle w:val="49"/>
        <w:ind w:left="100" w:firstLine="0" w:firstLineChars="0"/>
        <w:jc w:val="center"/>
        <w:rPr>
          <w:rFonts w:hint="default"/>
        </w:rPr>
      </w:pPr>
      <w:r>
        <w:rPr>
          <w:rFonts w:hint="default"/>
        </w:rPr>
        <w:drawing>
          <wp:inline distT="0" distB="0" distL="0" distR="0">
            <wp:extent cx="2691765" cy="4002405"/>
            <wp:effectExtent l="0" t="0" r="0" b="0"/>
            <wp:docPr id="1076" name="Picture 17"/>
            <a:graphic xmlns:a="http://schemas.openxmlformats.org/drawingml/2006/main">
              <a:graphicData uri="http://schemas.openxmlformats.org/drawingml/2006/picture">
                <pic:pic xmlns:pic="http://schemas.openxmlformats.org/drawingml/2006/picture">
                  <pic:nvPicPr>
                    <pic:cNvPr id="1076" name="Picture 17"/>
                    <pic:cNvPicPr>
                      <a:picLocks noChangeAspect="1" noChangeArrowheads="1"/>
                    </pic:cNvPicPr>
                  </pic:nvPicPr>
                  <pic:blipFill>
                    <a:blip r:embed="rId55"/>
                    <a:stretch>
                      <a:fillRect/>
                    </a:stretch>
                  </pic:blipFill>
                  <pic:spPr>
                    <a:xfrm>
                      <a:off x="0" y="0"/>
                      <a:ext cx="2691765" cy="4002405"/>
                    </a:xfrm>
                    <a:prstGeom prst="rect">
                      <a:avLst/>
                    </a:prstGeom>
                    <a:noFill/>
                    <a:ln>
                      <a:noFill/>
                    </a:ln>
                  </pic:spPr>
                </pic:pic>
              </a:graphicData>
            </a:graphic>
          </wp:inline>
        </w:drawing>
      </w:r>
      <w:r>
        <w:rPr>
          <w:rFonts w:hint="default"/>
        </w:rPr>
        <w:drawing>
          <wp:inline distT="0" distB="0" distL="0" distR="0">
            <wp:extent cx="2543175" cy="3993515"/>
            <wp:effectExtent l="0" t="0" r="0" b="0"/>
            <wp:docPr id="1077" name="Picture 20"/>
            <a:graphic xmlns:a="http://schemas.openxmlformats.org/drawingml/2006/main">
              <a:graphicData uri="http://schemas.openxmlformats.org/drawingml/2006/picture">
                <pic:pic xmlns:pic="http://schemas.openxmlformats.org/drawingml/2006/picture">
                  <pic:nvPicPr>
                    <pic:cNvPr id="1077" name="Picture 20"/>
                    <pic:cNvPicPr>
                      <a:picLocks noChangeAspect="1" noChangeArrowheads="1"/>
                    </pic:cNvPicPr>
                  </pic:nvPicPr>
                  <pic:blipFill>
                    <a:blip r:embed="rId56"/>
                    <a:stretch>
                      <a:fillRect/>
                    </a:stretch>
                  </pic:blipFill>
                  <pic:spPr>
                    <a:xfrm>
                      <a:off x="0" y="0"/>
                      <a:ext cx="2543175" cy="3993515"/>
                    </a:xfrm>
                    <a:prstGeom prst="rect">
                      <a:avLst/>
                    </a:prstGeom>
                    <a:noFill/>
                    <a:ln>
                      <a:noFill/>
                    </a:ln>
                  </pic:spPr>
                </pic:pic>
              </a:graphicData>
            </a:graphic>
          </wp:inline>
        </w:drawing>
      </w:r>
    </w:p>
    <w:p>
      <w:pPr>
        <w:pStyle w:val="49"/>
        <w:ind w:left="100" w:firstLine="200"/>
        <w:jc w:val="center"/>
        <w:rPr>
          <w:rFonts w:hint="default"/>
        </w:rPr>
      </w:pPr>
      <w:r>
        <w:rPr>
          <w:rFonts w:hint="default"/>
        </w:rPr>
        <w:drawing>
          <wp:inline distT="0" distB="0" distL="0" distR="0">
            <wp:extent cx="3819525" cy="2467610"/>
            <wp:effectExtent l="0" t="0" r="0" b="0"/>
            <wp:docPr id="1078" name="Picture 26"/>
            <a:graphic xmlns:a="http://schemas.openxmlformats.org/drawingml/2006/main">
              <a:graphicData uri="http://schemas.openxmlformats.org/drawingml/2006/picture">
                <pic:pic xmlns:pic="http://schemas.openxmlformats.org/drawingml/2006/picture">
                  <pic:nvPicPr>
                    <pic:cNvPr id="1078" name="Picture 26"/>
                    <pic:cNvPicPr>
                      <a:picLocks noChangeAspect="1" noChangeArrowheads="1"/>
                    </pic:cNvPicPr>
                  </pic:nvPicPr>
                  <pic:blipFill>
                    <a:blip r:embed="rId57"/>
                    <a:stretch>
                      <a:fillRect/>
                    </a:stretch>
                  </pic:blipFill>
                  <pic:spPr>
                    <a:xfrm>
                      <a:off x="0" y="0"/>
                      <a:ext cx="3819525" cy="2467610"/>
                    </a:xfrm>
                    <a:prstGeom prst="rect">
                      <a:avLst/>
                    </a:prstGeom>
                    <a:noFill/>
                    <a:ln>
                      <a:noFill/>
                    </a:ln>
                  </pic:spPr>
                </pic:pic>
              </a:graphicData>
            </a:graphic>
          </wp:inline>
        </w:drawing>
      </w:r>
    </w:p>
    <w:p>
      <w:pPr>
        <w:pStyle w:val="0"/>
        <w:widowControl w:val="1"/>
        <w:jc w:val="left"/>
        <w:rPr>
          <w:rFonts w:hint="default"/>
        </w:rPr>
      </w:pPr>
      <w:r>
        <w:rPr>
          <w:rFonts w:hint="default"/>
        </w:rPr>
        <w:br w:type="page"/>
      </w:r>
    </w:p>
    <w:p>
      <w:pPr>
        <w:pStyle w:val="2"/>
        <w:rPr>
          <w:rFonts w:hint="default"/>
        </w:rPr>
      </w:pPr>
      <w:r>
        <w:rPr>
          <w:rFonts w:hint="eastAsia"/>
        </w:rPr>
        <w:t>　</w:t>
      </w:r>
      <w:bookmarkStart w:id="41" w:name="_Toc73347201"/>
      <w:r>
        <w:rPr>
          <w:rFonts w:hint="eastAsia"/>
        </w:rPr>
        <w:t>推進体制等の整備</w:t>
      </w:r>
      <w:bookmarkEnd w:id="41"/>
    </w:p>
    <w:p>
      <w:pPr>
        <w:pStyle w:val="55"/>
        <w:ind w:left="100" w:leftChars="50"/>
        <w:rPr>
          <w:rFonts w:hint="default" w:ascii="ＭＳ Ｐ明朝" w:hAnsi="ＭＳ Ｐ明朝" w:eastAsia="ＭＳ Ｐ明朝"/>
          <w:sz w:val="20"/>
        </w:rPr>
      </w:pPr>
    </w:p>
    <w:p>
      <w:pPr>
        <w:pStyle w:val="55"/>
        <w:ind w:left="100" w:leftChars="50"/>
        <w:rPr>
          <w:rFonts w:hint="default" w:ascii="ＭＳ Ｐ明朝" w:hAnsi="ＭＳ Ｐ明朝" w:eastAsia="ＭＳ Ｐ明朝"/>
          <w:sz w:val="20"/>
        </w:rPr>
      </w:pPr>
      <w:r>
        <w:rPr>
          <w:rFonts w:hint="eastAsia" w:ascii="ＭＳ Ｐ明朝" w:hAnsi="ＭＳ Ｐ明朝" w:eastAsia="ＭＳ Ｐ明朝"/>
          <w:sz w:val="20"/>
        </w:rPr>
        <w:t>　本計画を継続的に運用していくためには、改修方針や計画スケジュール等、統一的な考え方を持った上で推進する必要があり、関係局、施設管理者との連携により、要求事項を的確に把握し、計画に反映していきます。</w:t>
      </w:r>
    </w:p>
    <w:p>
      <w:pPr>
        <w:pStyle w:val="55"/>
        <w:ind w:left="-12" w:leftChars="-6" w:firstLine="210"/>
        <w:rPr>
          <w:rFonts w:hint="default" w:ascii="ＭＳ Ｐ明朝" w:hAnsi="ＭＳ Ｐ明朝" w:eastAsia="ＭＳ Ｐ明朝"/>
          <w:sz w:val="20"/>
        </w:rPr>
      </w:pPr>
      <w:r>
        <w:rPr>
          <w:rFonts w:hint="eastAsia" w:ascii="ＭＳ Ｐ明朝" w:hAnsi="ＭＳ Ｐ明朝" w:eastAsia="ＭＳ Ｐ明朝"/>
          <w:sz w:val="20"/>
        </w:rPr>
        <w:t>また、学校施設の実態把握やコストの算出、蓄積したデータベースの活用に際しては、一定の技術的知見が必要となるため、専門業者や設計実務者等と協力し、組織体制の充実を図ります。</w:t>
      </w:r>
    </w:p>
    <w:p>
      <w:pPr>
        <w:pStyle w:val="55"/>
        <w:ind w:left="-12" w:leftChars="-6" w:firstLine="210"/>
        <w:rPr>
          <w:rFonts w:hint="default" w:ascii="ＭＳ Ｐ明朝" w:hAnsi="ＭＳ Ｐ明朝" w:eastAsia="ＭＳ Ｐ明朝"/>
          <w:sz w:val="20"/>
        </w:rPr>
      </w:pPr>
    </w:p>
    <w:p>
      <w:pPr>
        <w:pStyle w:val="2"/>
        <w:rPr>
          <w:rFonts w:hint="default"/>
        </w:rPr>
      </w:pPr>
      <w:r>
        <w:rPr>
          <w:rFonts w:hint="eastAsia"/>
        </w:rPr>
        <w:t>　</w:t>
      </w:r>
      <w:bookmarkStart w:id="42" w:name="_Toc73347202"/>
      <w:r>
        <w:rPr>
          <w:rFonts w:hint="eastAsia"/>
        </w:rPr>
        <w:t>フォローアップ</w:t>
      </w:r>
      <w:bookmarkEnd w:id="42"/>
    </w:p>
    <w:p>
      <w:pPr>
        <w:pStyle w:val="55"/>
        <w:ind w:left="100" w:leftChars="50"/>
        <w:rPr>
          <w:rFonts w:hint="default" w:ascii="ＭＳ Ｐ明朝" w:hAnsi="ＭＳ Ｐ明朝" w:eastAsia="ＭＳ Ｐ明朝"/>
          <w:sz w:val="20"/>
        </w:rPr>
      </w:pPr>
    </w:p>
    <w:p>
      <w:pPr>
        <w:pStyle w:val="55"/>
        <w:ind w:left="100" w:leftChars="50"/>
        <w:rPr>
          <w:rFonts w:hint="default" w:ascii="ＭＳ Ｐ明朝" w:hAnsi="ＭＳ Ｐ明朝" w:eastAsia="ＭＳ Ｐ明朝"/>
          <w:sz w:val="20"/>
        </w:rPr>
      </w:pPr>
      <w:r>
        <w:rPr>
          <w:rFonts w:hint="eastAsia" w:ascii="ＭＳ Ｐ明朝" w:hAnsi="ＭＳ Ｐ明朝" w:eastAsia="ＭＳ Ｐ明朝"/>
          <w:sz w:val="20"/>
        </w:rPr>
        <w:t>　本計画は、</w:t>
      </w:r>
      <w:r>
        <w:rPr>
          <w:rFonts w:hint="eastAsia" w:ascii="ＭＳ Ｐ明朝" w:hAnsi="ＭＳ Ｐ明朝" w:eastAsia="ＭＳ Ｐ明朝"/>
          <w:sz w:val="20"/>
        </w:rPr>
        <w:t>40</w:t>
      </w:r>
      <w:r>
        <w:rPr>
          <w:rFonts w:hint="eastAsia" w:ascii="ＭＳ Ｐ明朝" w:hAnsi="ＭＳ Ｐ明朝" w:eastAsia="ＭＳ Ｐ明朝"/>
          <w:sz w:val="20"/>
        </w:rPr>
        <w:t>年間に及ぶ長期的な計画であり、市全体の財政計画のなかで年次及び個別の事業費を精査していくとともに、事業の進捗状況や老朽化の状況、また、学校教育を取り巻く環境の変化や少子化等の社会状況の変容に対応する必要があるため、</w:t>
      </w:r>
      <w:r>
        <w:rPr>
          <w:rFonts w:hint="eastAsia" w:ascii="ＭＳ Ｐ明朝" w:hAnsi="ＭＳ Ｐ明朝" w:eastAsia="ＭＳ Ｐ明朝"/>
          <w:sz w:val="20"/>
        </w:rPr>
        <w:t>5</w:t>
      </w:r>
      <w:r>
        <w:rPr>
          <w:rFonts w:hint="eastAsia" w:ascii="ＭＳ Ｐ明朝" w:hAnsi="ＭＳ Ｐ明朝" w:eastAsia="ＭＳ Ｐ明朝"/>
          <w:sz w:val="20"/>
        </w:rPr>
        <w:t>年を目安に、</w:t>
      </w:r>
      <w:r>
        <w:rPr>
          <w:rFonts w:hint="eastAsia" w:ascii="ＭＳ Ｐ明朝" w:hAnsi="ＭＳ Ｐ明朝" w:eastAsia="ＭＳ Ｐ明朝"/>
          <w:sz w:val="20"/>
        </w:rPr>
        <w:t>PDCA</w:t>
      </w:r>
      <w:r>
        <w:rPr>
          <w:rFonts w:hint="eastAsia" w:ascii="ＭＳ Ｐ明朝" w:hAnsi="ＭＳ Ｐ明朝" w:eastAsia="ＭＳ Ｐ明朝"/>
          <w:sz w:val="20"/>
        </w:rPr>
        <w:t>サイクルによる随時見直しを行い、実現性・実行性を確保した計画とします。</w:t>
      </w:r>
    </w:p>
    <w:p>
      <w:pPr>
        <w:pStyle w:val="55"/>
        <w:ind w:left="100" w:leftChars="50"/>
        <w:rPr>
          <w:rFonts w:hint="default" w:ascii="ＭＳ Ｐ明朝" w:hAnsi="ＭＳ Ｐ明朝" w:eastAsia="ＭＳ Ｐ明朝"/>
          <w:sz w:val="20"/>
        </w:rPr>
      </w:pPr>
    </w:p>
    <w:p>
      <w:pPr>
        <w:pStyle w:val="49"/>
        <w:ind w:left="0" w:leftChars="0" w:firstLine="0" w:firstLineChars="0"/>
        <w:jc w:val="center"/>
        <w:rPr>
          <w:rFonts w:hint="default"/>
        </w:rPr>
      </w:pPr>
      <w:r>
        <w:rPr>
          <w:rFonts w:hint="default"/>
        </w:rPr>
        <w:drawing>
          <wp:inline distT="0" distB="0" distL="0" distR="0">
            <wp:extent cx="4685665" cy="2885440"/>
            <wp:effectExtent l="0" t="0" r="0" b="0"/>
            <wp:docPr id="1079" name="Picture 5"/>
            <a:graphic xmlns:a="http://schemas.openxmlformats.org/drawingml/2006/main">
              <a:graphicData uri="http://schemas.openxmlformats.org/drawingml/2006/picture">
                <pic:pic xmlns:pic="http://schemas.openxmlformats.org/drawingml/2006/picture">
                  <pic:nvPicPr>
                    <pic:cNvPr id="1079" name="Picture 5"/>
                    <pic:cNvPicPr>
                      <a:picLocks noChangeAspect="1" noChangeArrowheads="1"/>
                    </pic:cNvPicPr>
                  </pic:nvPicPr>
                  <pic:blipFill>
                    <a:blip r:embed="rId58"/>
                    <a:stretch>
                      <a:fillRect/>
                    </a:stretch>
                  </pic:blipFill>
                  <pic:spPr>
                    <a:xfrm>
                      <a:off x="0" y="0"/>
                      <a:ext cx="4685665" cy="2885440"/>
                    </a:xfrm>
                    <a:prstGeom prst="rect">
                      <a:avLst/>
                    </a:prstGeom>
                    <a:noFill/>
                    <a:ln>
                      <a:noFill/>
                    </a:ln>
                  </pic:spPr>
                </pic:pic>
              </a:graphicData>
            </a:graphic>
          </wp:inline>
        </w:drawing>
      </w:r>
    </w:p>
    <w:p>
      <w:pPr>
        <w:pStyle w:val="33"/>
        <w:rPr>
          <w:rFonts w:hint="default" w:ascii="ＭＳ Ｐゴシック" w:hAnsi="ＭＳ Ｐゴシック" w:eastAsia="ＭＳ Ｐゴシック"/>
          <w:b w:val="0"/>
        </w:rPr>
      </w:pPr>
      <w:r>
        <w:rPr>
          <w:rFonts w:hint="default" w:ascii="ＭＳ Ｐゴシック" w:hAnsi="ＭＳ Ｐゴシック" w:eastAsia="ＭＳ Ｐゴシック"/>
          <w:b w:val="0"/>
        </w:rPr>
        <w:t>図</w:t>
      </w:r>
      <w:r>
        <w:rPr>
          <w:rFonts w:hint="eastAsia"/>
        </w:rPr>
        <w:fldChar w:fldCharType="begin"/>
      </w:r>
      <w:r>
        <w:rPr>
          <w:rFonts w:hint="default" w:ascii="ＭＳ Ｐゴシック" w:hAnsi="ＭＳ Ｐゴシック" w:eastAsia="ＭＳ Ｐゴシック"/>
          <w:b w:val="0"/>
        </w:rPr>
        <w:instrText xml:space="preserve"> SEQ </w:instrText>
      </w:r>
      <w:r>
        <w:rPr>
          <w:rFonts w:hint="default" w:ascii="ＭＳ Ｐゴシック" w:hAnsi="ＭＳ Ｐゴシック" w:eastAsia="ＭＳ Ｐゴシック"/>
          <w:b w:val="0"/>
        </w:rPr>
        <w:instrText>図</w:instrText>
      </w:r>
      <w:r>
        <w:rPr>
          <w:rFonts w:hint="default" w:ascii="ＭＳ Ｐゴシック" w:hAnsi="ＭＳ Ｐゴシック" w:eastAsia="ＭＳ Ｐゴシック"/>
          <w:b w:val="0"/>
        </w:rPr>
        <w:instrText xml:space="preserve"> \* ARABIC </w:instrText>
      </w:r>
      <w:r>
        <w:rPr>
          <w:rFonts w:hint="eastAsia"/>
        </w:rPr>
        <w:fldChar w:fldCharType="separate"/>
      </w:r>
      <w:r>
        <w:rPr>
          <w:rFonts w:hint="default" w:ascii="ＭＳ Ｐゴシック" w:hAnsi="ＭＳ Ｐゴシック" w:eastAsia="ＭＳ Ｐゴシック"/>
          <w:b w:val="0"/>
        </w:rPr>
        <w:t>16</w:t>
      </w:r>
      <w:r>
        <w:rPr>
          <w:rFonts w:hint="eastAsia"/>
        </w:rPr>
        <w:fldChar w:fldCharType="end"/>
      </w:r>
      <w:r>
        <w:rPr>
          <w:rFonts w:hint="eastAsia" w:ascii="ＭＳ Ｐゴシック" w:hAnsi="ＭＳ Ｐゴシック" w:eastAsia="ＭＳ Ｐゴシック"/>
          <w:b w:val="0"/>
        </w:rPr>
        <w:t>　</w:t>
      </w:r>
      <w:r>
        <w:rPr>
          <w:rFonts w:hint="eastAsia" w:ascii="ＭＳ Ｐゴシック" w:hAnsi="ＭＳ Ｐゴシック" w:eastAsia="ＭＳ Ｐゴシック"/>
          <w:b w:val="0"/>
        </w:rPr>
        <w:t>PDCA</w:t>
      </w:r>
      <w:r>
        <w:rPr>
          <w:rFonts w:hint="eastAsia" w:ascii="ＭＳ Ｐゴシック" w:hAnsi="ＭＳ Ｐゴシック" w:eastAsia="ＭＳ Ｐゴシック"/>
          <w:b w:val="0"/>
        </w:rPr>
        <w:t>サイクルの例</w:t>
      </w:r>
    </w:p>
    <w:p>
      <w:pPr>
        <w:pStyle w:val="0"/>
        <w:widowControl w:val="1"/>
        <w:jc w:val="left"/>
        <w:rPr>
          <w:rFonts w:hint="default"/>
        </w:rPr>
      </w:pPr>
    </w:p>
    <w:p>
      <w:pPr>
        <w:pStyle w:val="0"/>
        <w:widowControl w:val="1"/>
        <w:jc w:val="left"/>
        <w:rPr>
          <w:rFonts w:hint="default"/>
        </w:rPr>
      </w:pPr>
      <w:r>
        <w:rPr>
          <w:rFonts w:hint="default"/>
        </w:rPr>
        <w:br w:type="page"/>
      </w:r>
    </w:p>
    <w:p>
      <w:pPr>
        <w:pStyle w:val="1"/>
        <w:numPr>
          <w:ilvl w:val="0"/>
          <w:numId w:val="0"/>
        </w:numPr>
        <w:ind w:left="26" w:leftChars="13"/>
        <w:jc w:val="center"/>
        <w:rPr>
          <w:rFonts w:hint="default"/>
          <w:sz w:val="40"/>
        </w:rPr>
      </w:pPr>
      <w:bookmarkStart w:id="43" w:name="_Toc73347203"/>
      <w:r>
        <w:rPr>
          <w:rFonts w:hint="eastAsia"/>
          <w:sz w:val="40"/>
        </w:rPr>
        <w:t>資料編</w:t>
      </w:r>
      <w:bookmarkEnd w:id="43"/>
    </w:p>
    <w:p>
      <w:pPr>
        <w:pStyle w:val="0"/>
        <w:rPr>
          <w:rFonts w:hint="default"/>
        </w:rPr>
      </w:pPr>
    </w:p>
    <w:p>
      <w:pPr>
        <w:pStyle w:val="2"/>
        <w:numPr>
          <w:ilvl w:val="0"/>
          <w:numId w:val="0"/>
        </w:numPr>
        <w:rPr>
          <w:rFonts w:hint="default"/>
        </w:rPr>
      </w:pPr>
      <w:bookmarkStart w:id="44" w:name="_Toc73347204"/>
      <w:r>
        <w:rPr>
          <w:rFonts w:hint="eastAsia"/>
        </w:rPr>
        <w:t>用語集</w:t>
      </w:r>
      <w:bookmarkEnd w:id="44"/>
    </w:p>
    <w:p>
      <w:pPr>
        <w:pStyle w:val="0"/>
        <w:rPr>
          <w:rFonts w:hint="default"/>
        </w:rPr>
      </w:pPr>
    </w:p>
    <w:tbl>
      <w:tblPr>
        <w:tblStyle w:val="57"/>
        <w:tblW w:w="4859" w:type="pct"/>
        <w:tblInd w:w="137" w:type="dxa"/>
        <w:tblLayout w:type="fixed"/>
        <w:tblLook w:firstRow="1" w:lastRow="0" w:firstColumn="1" w:lastColumn="0" w:noHBand="0" w:noVBand="1" w:val="04A0"/>
      </w:tblPr>
      <w:tblGrid>
        <w:gridCol w:w="2088"/>
        <w:gridCol w:w="6717"/>
      </w:tblGrid>
      <w:tr>
        <w:trPr>
          <w:trHeight w:val="483"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建物を将来にわたって長く使い続けるため、耐用年数を伸ばすこと。</w:t>
            </w:r>
          </w:p>
        </w:tc>
      </w:tr>
      <w:tr>
        <w:trPr>
          <w:trHeight w:val="703"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従来型管理</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建物や機械・電気設備等において不具合が出た箇所のみを事後的に修繕し、建築後</w:t>
            </w:r>
            <w:r>
              <w:rPr>
                <w:rFonts w:hint="eastAsia" w:ascii="ＭＳ Ｐゴシック" w:hAnsi="ＭＳ Ｐゴシック" w:eastAsia="ＭＳ Ｐゴシック"/>
                <w:sz w:val="18"/>
              </w:rPr>
              <w:t>40</w:t>
            </w:r>
            <w:r>
              <w:rPr>
                <w:rFonts w:hint="eastAsia" w:ascii="ＭＳ Ｐゴシック" w:hAnsi="ＭＳ Ｐゴシック" w:eastAsia="ＭＳ Ｐゴシック"/>
                <w:sz w:val="18"/>
              </w:rPr>
              <w:t>年程度で改築するというような維持管理方法。</w:t>
            </w:r>
          </w:p>
        </w:tc>
      </w:tr>
      <w:tr>
        <w:trPr>
          <w:trHeight w:val="854"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長寿命化型管理</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建物の損傷や電機・機械設備等の異常が軽微である段階から、機能・性能の保持・回復を図るための修繕等を予防的に実施し、耐用年数を</w:t>
            </w:r>
            <w:r>
              <w:rPr>
                <w:rFonts w:hint="eastAsia" w:ascii="ＭＳ Ｐゴシック" w:hAnsi="ＭＳ Ｐゴシック" w:eastAsia="ＭＳ Ｐゴシック"/>
                <w:sz w:val="18"/>
              </w:rPr>
              <w:t>80</w:t>
            </w:r>
            <w:r>
              <w:rPr>
                <w:rFonts w:hint="eastAsia" w:ascii="ＭＳ Ｐゴシック" w:hAnsi="ＭＳ Ｐゴシック" w:eastAsia="ＭＳ Ｐゴシック"/>
                <w:sz w:val="18"/>
              </w:rPr>
              <w:t>年程度まで伸ばす維持管理の方法。</w:t>
            </w:r>
          </w:p>
        </w:tc>
      </w:tr>
      <w:tr>
        <w:trPr>
          <w:trHeight w:val="750"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改築</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老朽化により構造上危険な状態にあったり、教育上、著しく不適当な状態にあったりする既存の建物を「建て替える」こと。</w:t>
            </w:r>
          </w:p>
        </w:tc>
      </w:tr>
      <w:tr>
        <w:trPr>
          <w:trHeight w:val="637"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大規模改造</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屋上防水・外壁改修など外部全体の改修や建物内部の分的な改修・トイレ改修等の改修。</w:t>
            </w:r>
          </w:p>
        </w:tc>
      </w:tr>
      <w:tr>
        <w:trPr>
          <w:trHeight w:val="707"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長寿命化改修</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長寿命化を行なうために、物理的な不具合を直し耐久性を高めることに加え、機能や性能を現代の求められる水準まで引き上げる改修を行うこと。</w:t>
            </w:r>
          </w:p>
        </w:tc>
      </w:tr>
      <w:tr>
        <w:trPr>
          <w:trHeight w:val="825"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color w:val="000000" w:themeColor="text1"/>
                <w:sz w:val="18"/>
              </w:rPr>
              <w:t>予防改修</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築年数２０年以上４０年未満であるもの又は長寿命化改良後２０年以上経過したもので屋上の防水層の全面的な改修・躯体の長寿命化を目的とした外壁改修を行うこと。</w:t>
            </w:r>
          </w:p>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令和２年度より文部科学省により新たに創設された整備項目。</w:t>
            </w:r>
          </w:p>
        </w:tc>
      </w:tr>
      <w:tr>
        <w:trPr>
          <w:trHeight w:val="733" w:hRule="atLeast"/>
        </w:trPr>
        <w:tc>
          <w:tcPr>
            <w:tcW w:w="1186" w:type="pct"/>
            <w:vAlign w:val="center"/>
          </w:tcPr>
          <w:p>
            <w:pPr>
              <w:pStyle w:val="0"/>
              <w:snapToGrid w:val="0"/>
              <w:rPr>
                <w:rFonts w:hint="default" w:ascii="ＭＳ Ｐゴシック" w:hAnsi="ＭＳ Ｐゴシック" w:eastAsia="ＭＳ Ｐゴシック"/>
                <w:color w:val="FF0000"/>
                <w:sz w:val="18"/>
              </w:rPr>
            </w:pPr>
            <w:r>
              <w:rPr>
                <w:rFonts w:hint="eastAsia" w:ascii="ＭＳ Ｐゴシック" w:hAnsi="ＭＳ Ｐゴシック" w:eastAsia="ＭＳ Ｐゴシック"/>
                <w:sz w:val="18"/>
              </w:rPr>
              <w:t>部位修繕</w:t>
            </w:r>
          </w:p>
        </w:tc>
        <w:tc>
          <w:tcPr>
            <w:tcW w:w="3814" w:type="pct"/>
            <w:vAlign w:val="center"/>
          </w:tcPr>
          <w:p>
            <w:pPr>
              <w:pStyle w:val="0"/>
              <w:snapToGrid w:val="0"/>
              <w:rPr>
                <w:rFonts w:hint="default" w:ascii="ＭＳ Ｐゴシック" w:hAnsi="ＭＳ Ｐゴシック" w:eastAsia="ＭＳ Ｐゴシック"/>
                <w:color w:val="FF0000"/>
                <w:sz w:val="18"/>
              </w:rPr>
            </w:pPr>
            <w:r>
              <w:rPr>
                <w:rFonts w:hint="eastAsia" w:ascii="ＭＳ Ｐゴシック" w:hAnsi="ＭＳ Ｐゴシック" w:eastAsia="ＭＳ Ｐゴシック"/>
                <w:sz w:val="18"/>
              </w:rPr>
              <w:t>経年劣化した建物の部分を、既存のものと概ね同じ位置に、概ね同じ材料、形状、寸法のものを用いて原状回復を図ること。</w:t>
            </w:r>
          </w:p>
        </w:tc>
      </w:tr>
      <w:tr>
        <w:trPr>
          <w:trHeight w:val="1134" w:hRule="atLeast"/>
        </w:trPr>
        <w:tc>
          <w:tcPr>
            <w:tcW w:w="1186"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躯体以外の劣化状況</w:t>
            </w:r>
          </w:p>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及び健全度</w:t>
            </w:r>
          </w:p>
        </w:tc>
        <w:tc>
          <w:tcPr>
            <w:tcW w:w="3814" w:type="pct"/>
            <w:vAlign w:val="center"/>
          </w:tcPr>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建物を５つの部位（屋根・屋上、外壁、内部仕上、電気設備、機械設備）に分類し、４段階で劣化状況を評価した結果のこと。</w:t>
            </w:r>
          </w:p>
          <w:p>
            <w:pPr>
              <w:pStyle w:val="0"/>
              <w:snapToGrid w:val="0"/>
              <w:rPr>
                <w:rFonts w:hint="default" w:ascii="ＭＳ Ｐゴシック" w:hAnsi="ＭＳ Ｐゴシック" w:eastAsia="ＭＳ Ｐゴシック"/>
                <w:sz w:val="18"/>
              </w:rPr>
            </w:pPr>
            <w:r>
              <w:rPr>
                <w:rFonts w:hint="eastAsia" w:ascii="ＭＳ Ｐゴシック" w:hAnsi="ＭＳ Ｐゴシック" w:eastAsia="ＭＳ Ｐゴシック"/>
                <w:sz w:val="18"/>
              </w:rPr>
              <w:t>また、躯体以外の劣化状況を</w:t>
            </w:r>
            <w:r>
              <w:rPr>
                <w:rFonts w:hint="eastAsia" w:ascii="ＭＳ Ｐゴシック" w:hAnsi="ＭＳ Ｐゴシック" w:eastAsia="ＭＳ Ｐゴシック"/>
                <w:sz w:val="18"/>
              </w:rPr>
              <w:t>100</w:t>
            </w:r>
            <w:r>
              <w:rPr>
                <w:rFonts w:hint="eastAsia" w:ascii="ＭＳ Ｐゴシック" w:hAnsi="ＭＳ Ｐゴシック" w:eastAsia="ＭＳ Ｐゴシック"/>
                <w:sz w:val="18"/>
              </w:rPr>
              <w:t>点満点で点数化した評価指標のことを健全度という。</w:t>
            </w:r>
          </w:p>
        </w:tc>
      </w:tr>
    </w:tbl>
    <w:p>
      <w:pPr>
        <w:pStyle w:val="0"/>
        <w:rPr>
          <w:rFonts w:hint="default"/>
        </w:rPr>
      </w:pPr>
    </w:p>
    <w:p>
      <w:pPr>
        <w:pStyle w:val="0"/>
        <w:widowControl w:val="1"/>
        <w:jc w:val="left"/>
        <w:rPr>
          <w:rFonts w:hint="default"/>
        </w:rPr>
      </w:pPr>
      <w:r>
        <w:rPr>
          <w:rFonts w:hint="default"/>
        </w:rPr>
        <w:br w:type="page"/>
      </w:r>
    </w:p>
    <w:p>
      <w:pPr>
        <w:pStyle w:val="2"/>
        <w:numPr>
          <w:ilvl w:val="0"/>
          <w:numId w:val="0"/>
        </w:numPr>
        <w:rPr>
          <w:rFonts w:hint="default"/>
        </w:rPr>
      </w:pPr>
      <w:bookmarkStart w:id="45" w:name="_Toc73347205"/>
      <w:r>
        <w:rPr>
          <w:rFonts w:hint="eastAsia"/>
        </w:rPr>
        <w:t>改修履歴を考慮した長寿命化型（</w:t>
      </w:r>
      <w:r>
        <w:rPr>
          <w:rFonts w:hint="default"/>
        </w:rPr>
        <w:t>Ste</w:t>
      </w:r>
      <w:r>
        <w:rPr>
          <w:rFonts w:hint="eastAsia"/>
        </w:rPr>
        <w:t>ｐ</w:t>
      </w:r>
      <w:r>
        <w:rPr>
          <w:rFonts w:hint="default"/>
        </w:rPr>
        <w:t>3</w:t>
      </w:r>
      <w:r>
        <w:rPr>
          <w:rFonts w:hint="default"/>
        </w:rPr>
        <w:t>）における各工事の実施年度</w:t>
      </w:r>
      <w:bookmarkEnd w:id="45"/>
    </w:p>
    <w:p>
      <w:pPr>
        <w:pStyle w:val="0"/>
        <w:rPr>
          <w:rFonts w:hint="default"/>
        </w:rPr>
      </w:pPr>
      <w:r>
        <w:rPr>
          <w:rFonts w:hint="eastAsia"/>
        </w:rPr>
        <w:t>（小学校）</w:t>
      </w:r>
    </w:p>
    <w:p>
      <w:pPr>
        <w:pStyle w:val="0"/>
        <w:snapToGrid w:val="0"/>
        <w:jc w:val="center"/>
        <w:rPr>
          <w:rFonts w:hint="default" w:ascii="ＭＳ Ｐゴシック" w:hAnsi="ＭＳ Ｐゴシック" w:eastAsia="ＭＳ Ｐゴシック"/>
          <w:color w:val="FF0000"/>
          <w:sz w:val="18"/>
        </w:rPr>
      </w:pPr>
      <w:r>
        <w:rPr>
          <w:rFonts w:hint="default"/>
        </w:rPr>
        <w:drawing>
          <wp:inline distT="0" distB="0" distL="0" distR="0">
            <wp:extent cx="5669915" cy="7520305"/>
            <wp:effectExtent l="0" t="0" r="0" b="0"/>
            <wp:docPr id="1080" name="Picture 3"/>
            <a:graphic xmlns:a="http://schemas.openxmlformats.org/drawingml/2006/main">
              <a:graphicData uri="http://schemas.openxmlformats.org/drawingml/2006/picture">
                <pic:pic xmlns:pic="http://schemas.openxmlformats.org/drawingml/2006/picture">
                  <pic:nvPicPr>
                    <pic:cNvPr id="1080" name="Picture 3"/>
                    <pic:cNvPicPr>
                      <a:picLocks noChangeAspect="1" noChangeArrowheads="1"/>
                    </pic:cNvPicPr>
                  </pic:nvPicPr>
                  <pic:blipFill>
                    <a:blip r:embed="rId59"/>
                    <a:stretch>
                      <a:fillRect/>
                    </a:stretch>
                  </pic:blipFill>
                  <pic:spPr>
                    <a:xfrm>
                      <a:off x="0" y="0"/>
                      <a:ext cx="5669915" cy="7520305"/>
                    </a:xfrm>
                    <a:prstGeom prst="rect">
                      <a:avLst/>
                    </a:prstGeom>
                    <a:noFill/>
                    <a:ln>
                      <a:noFill/>
                    </a:ln>
                  </pic:spPr>
                </pic:pic>
              </a:graphicData>
            </a:graphic>
          </wp:inline>
        </w:drawing>
      </w:r>
    </w:p>
    <w:p>
      <w:pPr>
        <w:pStyle w:val="0"/>
        <w:snapToGrid w:val="0"/>
        <w:rPr>
          <w:rFonts w:hint="default" w:ascii="ＭＳ Ｐゴシック" w:hAnsi="ＭＳ Ｐゴシック" w:eastAsia="ＭＳ Ｐゴシック"/>
          <w:color w:val="FF0000"/>
          <w:sz w:val="18"/>
        </w:rPr>
      </w:pPr>
    </w:p>
    <w:p>
      <w:pPr>
        <w:pStyle w:val="0"/>
        <w:widowControl w:val="1"/>
        <w:jc w:val="left"/>
        <w:rPr>
          <w:rFonts w:hint="default" w:ascii="ＭＳ Ｐゴシック" w:hAnsi="ＭＳ Ｐゴシック" w:eastAsia="ＭＳ Ｐゴシック"/>
          <w:color w:val="FF0000"/>
          <w:sz w:val="18"/>
        </w:rPr>
      </w:pPr>
      <w:r>
        <w:rPr>
          <w:rFonts w:hint="default" w:ascii="ＭＳ Ｐゴシック" w:hAnsi="ＭＳ Ｐゴシック" w:eastAsia="ＭＳ Ｐゴシック"/>
          <w:color w:val="FF0000"/>
          <w:sz w:val="18"/>
        </w:rPr>
        <w:br w:type="page"/>
      </w:r>
    </w:p>
    <w:p>
      <w:pPr>
        <w:pStyle w:val="0"/>
        <w:snapToGrid w:val="0"/>
        <w:rPr>
          <w:rFonts w:hint="default" w:ascii="ＭＳ Ｐゴシック" w:hAnsi="ＭＳ Ｐゴシック" w:eastAsia="ＭＳ Ｐゴシック"/>
          <w:color w:val="FF0000"/>
          <w:sz w:val="18"/>
        </w:rPr>
      </w:pPr>
    </w:p>
    <w:p>
      <w:pPr>
        <w:pStyle w:val="0"/>
        <w:snapToGrid w:val="0"/>
        <w:rPr>
          <w:rFonts w:hint="default" w:ascii="ＭＳ Ｐゴシック" w:hAnsi="ＭＳ Ｐゴシック" w:eastAsia="ＭＳ Ｐゴシック"/>
          <w:color w:val="FF0000"/>
          <w:sz w:val="18"/>
        </w:rPr>
      </w:pPr>
    </w:p>
    <w:p>
      <w:pPr>
        <w:pStyle w:val="0"/>
        <w:rPr>
          <w:rFonts w:hint="default"/>
        </w:rPr>
      </w:pPr>
      <w:r>
        <w:rPr>
          <w:rFonts w:hint="eastAsia"/>
        </w:rPr>
        <w:t>（中学校、幼稚園、給食センター）</w:t>
      </w:r>
    </w:p>
    <w:p>
      <w:pPr>
        <w:pStyle w:val="0"/>
        <w:jc w:val="center"/>
        <w:rPr>
          <w:rFonts w:hint="default"/>
        </w:rPr>
      </w:pPr>
      <w:r>
        <w:rPr>
          <w:rFonts w:hint="eastAsia"/>
        </w:rPr>
        <w:drawing>
          <wp:inline distT="0" distB="0" distL="0" distR="0">
            <wp:extent cx="5669915" cy="6732905"/>
            <wp:effectExtent l="0" t="0" r="0" b="0"/>
            <wp:docPr id="1081" name="Picture 4"/>
            <a:graphic xmlns:a="http://schemas.openxmlformats.org/drawingml/2006/main">
              <a:graphicData uri="http://schemas.openxmlformats.org/drawingml/2006/picture">
                <pic:pic xmlns:pic="http://schemas.openxmlformats.org/drawingml/2006/picture">
                  <pic:nvPicPr>
                    <pic:cNvPr id="1081" name="Picture 4"/>
                    <pic:cNvPicPr>
                      <a:picLocks noChangeAspect="1" noChangeArrowheads="1"/>
                    </pic:cNvPicPr>
                  </pic:nvPicPr>
                  <pic:blipFill>
                    <a:blip r:embed="rId60"/>
                    <a:stretch>
                      <a:fillRect/>
                    </a:stretch>
                  </pic:blipFill>
                  <pic:spPr>
                    <a:xfrm>
                      <a:off x="0" y="0"/>
                      <a:ext cx="5669915" cy="6732905"/>
                    </a:xfrm>
                    <a:prstGeom prst="rect">
                      <a:avLst/>
                    </a:prstGeom>
                    <a:noFill/>
                    <a:ln>
                      <a:noFill/>
                    </a:ln>
                  </pic:spPr>
                </pic:pic>
              </a:graphicData>
            </a:graphic>
          </wp:inline>
        </w:drawing>
      </w:r>
    </w:p>
    <w:p>
      <w:pPr>
        <w:pStyle w:val="0"/>
        <w:rPr>
          <w:rFonts w:hint="default"/>
        </w:rPr>
      </w:pPr>
    </w:p>
    <w:p>
      <w:pPr>
        <w:pStyle w:val="0"/>
        <w:widowControl w:val="1"/>
        <w:jc w:val="left"/>
        <w:rPr>
          <w:rFonts w:hint="default" w:ascii="ＭＳ Ｐゴシック" w:hAnsi="ＭＳ Ｐゴシック" w:eastAsia="ＭＳ Ｐゴシック"/>
          <w:color w:val="FF0000"/>
          <w:sz w:val="18"/>
        </w:rPr>
      </w:pPr>
      <w:r>
        <w:rPr>
          <w:rFonts w:hint="default"/>
        </w:rPr>
        <w:br w:type="page"/>
      </w:r>
    </w:p>
    <w:p>
      <w:pPr>
        <w:pStyle w:val="2"/>
        <w:numPr>
          <w:ilvl w:val="0"/>
          <w:numId w:val="0"/>
        </w:numPr>
        <w:rPr>
          <w:rFonts w:hint="default"/>
        </w:rPr>
      </w:pPr>
      <w:bookmarkStart w:id="46" w:name="_Toc73347206"/>
      <w:r>
        <w:rPr>
          <w:rFonts w:hint="eastAsia"/>
        </w:rPr>
        <w:t>直近５年の整備計画</w:t>
      </w:r>
      <w:bookmarkEnd w:id="46"/>
    </w:p>
    <w:p>
      <w:pPr>
        <w:pStyle w:val="0"/>
        <w:rPr>
          <w:rFonts w:hint="default"/>
        </w:rPr>
      </w:pPr>
      <w:r>
        <w:rPr>
          <w:rFonts w:hint="eastAsia"/>
        </w:rPr>
        <w:object w:dxaOrig="15648" w:dyaOrig="9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style="mso-position-vertical-relative:line;z-index:1200;mso-wrap-distance-left:5.65pt;width:453.5pt;height:281.35000000000002pt;mso-wrap-mode:square;mso-position-horizontal-relative:margin;position:absolute;mso-position-horizontal:left;mso-position-vertical:top;mso-wrap-distance-bottom:0pt;mso-wrap-distance-right:5.65pt;mso-wrap-distance-top:0pt;" o:allowincell="t" o:allowoverlap="t" o:spt="75" type="#_x0000_t75">
            <v:fill/>
            <v:imagedata o:title="" r:id="rId61"/>
            <w10:wrap type="square" side="both" anchorx="margin" anchory="line"/>
          </v:shape>
          <o:OLEObject Type="Embed" ProgID="Excel.Sheet.12" ShapeID="_x0000_s1082" DrawAspect="Content" ObjectID="" r:id="rId62"/>
        </w:object>
      </w:r>
      <w:bookmarkStart w:id="47" w:name="_GoBack"/>
      <w:bookmarkEnd w:id="47"/>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snapToGrid w:val="0"/>
        <w:rPr>
          <w:rFonts w:hint="default" w:ascii="ＭＳ Ｐゴシック" w:hAnsi="ＭＳ Ｐゴシック" w:eastAsia="ＭＳ Ｐゴシック"/>
          <w:color w:val="FF0000"/>
          <w:sz w:val="18"/>
        </w:rPr>
      </w:pPr>
      <w:r>
        <w:rPr>
          <w:rFonts w:hint="eastAsia"/>
        </w:rPr>
        <mc:AlternateContent>
          <mc:Choice Requires="wps">
            <w:drawing>
              <wp:anchor distT="45720" distB="45720" distL="114300" distR="114300" simplePos="0" relativeHeight="40" behindDoc="0" locked="0" layoutInCell="1" hidden="0" allowOverlap="1">
                <wp:simplePos x="0" y="0"/>
                <wp:positionH relativeFrom="margin">
                  <wp:posOffset>961390</wp:posOffset>
                </wp:positionH>
                <wp:positionV relativeFrom="paragraph">
                  <wp:posOffset>2832100</wp:posOffset>
                </wp:positionV>
                <wp:extent cx="3629025" cy="1943100"/>
                <wp:effectExtent l="635" t="635" r="29845" b="10795"/>
                <wp:wrapSquare wrapText="bothSides"/>
                <wp:docPr id="1083" name="テキスト ボックス 2"/>
                <a:graphic xmlns:a="http://schemas.openxmlformats.org/drawingml/2006/main">
                  <a:graphicData uri="http://schemas.microsoft.com/office/word/2010/wordprocessingShape">
                    <wps:wsp>
                      <wps:cNvPr id="1083" name="テキスト ボックス 2"/>
                      <wps:cNvSpPr txBox="1">
                        <a:spLocks noChangeArrowheads="1"/>
                      </wps:cNvSpPr>
                      <wps:spPr>
                        <a:xfrm>
                          <a:off x="0" y="0"/>
                          <a:ext cx="3629025" cy="1943100"/>
                        </a:xfrm>
                        <a:prstGeom prst="rect">
                          <a:avLst/>
                        </a:prstGeom>
                        <a:solidFill>
                          <a:srgbClr val="FFFFFF"/>
                        </a:solidFill>
                        <a:ln w="9525">
                          <a:solidFill>
                            <a:srgbClr val="000000"/>
                          </a:solidFill>
                          <a:miter lim="800000"/>
                          <a:headEnd/>
                          <a:tailEnd/>
                        </a:ln>
                      </wps:spPr>
                      <wps:txbx>
                        <w:txbxContent>
                          <w:p>
                            <w:pPr>
                              <w:pStyle w:val="0"/>
                              <w:jc w:val="center"/>
                              <w:rPr>
                                <w:rFonts w:hint="default"/>
                                <w:b w:val="1"/>
                                <w:sz w:val="24"/>
                              </w:rPr>
                            </w:pPr>
                            <w:r>
                              <w:rPr>
                                <w:rFonts w:hint="eastAsia"/>
                                <w:b w:val="1"/>
                                <w:sz w:val="24"/>
                              </w:rPr>
                              <w:t>阪南市学校施設長寿命化個別計画</w:t>
                            </w:r>
                          </w:p>
                          <w:p>
                            <w:pPr>
                              <w:pStyle w:val="0"/>
                              <w:jc w:val="center"/>
                              <w:rPr>
                                <w:rFonts w:hint="default"/>
                                <w:b w:val="1"/>
                              </w:rPr>
                            </w:pPr>
                          </w:p>
                          <w:p>
                            <w:pPr>
                              <w:pStyle w:val="0"/>
                              <w:jc w:val="center"/>
                              <w:rPr>
                                <w:rFonts w:hint="default"/>
                              </w:rPr>
                            </w:pPr>
                            <w:r>
                              <w:rPr>
                                <w:rFonts w:hint="eastAsia"/>
                              </w:rPr>
                              <w:t>令和３年（</w:t>
                            </w:r>
                            <w:r>
                              <w:rPr>
                                <w:rFonts w:hint="eastAsia"/>
                              </w:rPr>
                              <w:t>202</w:t>
                            </w:r>
                            <w:r>
                              <w:rPr>
                                <w:rFonts w:hint="default"/>
                              </w:rPr>
                              <w:t>1</w:t>
                            </w:r>
                            <w:r>
                              <w:rPr>
                                <w:rFonts w:hint="eastAsia"/>
                              </w:rPr>
                              <w:t>年）３月策定</w:t>
                            </w:r>
                          </w:p>
                          <w:p>
                            <w:pPr>
                              <w:pStyle w:val="0"/>
                              <w:jc w:val="center"/>
                              <w:rPr>
                                <w:rFonts w:hint="default"/>
                                <w:b w:val="1"/>
                              </w:rPr>
                            </w:pPr>
                          </w:p>
                          <w:p>
                            <w:pPr>
                              <w:pStyle w:val="0"/>
                              <w:ind w:firstLine="902" w:firstLineChars="451"/>
                              <w:rPr>
                                <w:rFonts w:hint="default"/>
                              </w:rPr>
                            </w:pPr>
                            <w:r>
                              <w:rPr>
                                <w:rFonts w:hint="eastAsia"/>
                              </w:rPr>
                              <w:t>編集：阪南市教育総務課</w:t>
                            </w:r>
                          </w:p>
                          <w:p>
                            <w:pPr>
                              <w:pStyle w:val="0"/>
                              <w:ind w:firstLine="1418" w:firstLineChars="709"/>
                              <w:rPr>
                                <w:rFonts w:hint="default"/>
                              </w:rPr>
                            </w:pPr>
                            <w:r>
                              <w:rPr>
                                <w:rFonts w:hint="eastAsia"/>
                              </w:rPr>
                              <w:t>〒</w:t>
                            </w:r>
                            <w:r>
                              <w:rPr>
                                <w:rFonts w:hint="default"/>
                              </w:rPr>
                              <w:t>599-0292</w:t>
                            </w:r>
                          </w:p>
                          <w:p>
                            <w:pPr>
                              <w:pStyle w:val="0"/>
                              <w:ind w:firstLine="1418" w:firstLineChars="709"/>
                              <w:rPr>
                                <w:rFonts w:hint="default"/>
                              </w:rPr>
                            </w:pPr>
                            <w:r>
                              <w:rPr>
                                <w:rFonts w:hint="eastAsia"/>
                              </w:rPr>
                              <w:t>大阪府阪南市尾崎町</w:t>
                            </w:r>
                            <w:r>
                              <w:rPr>
                                <w:rFonts w:hint="default"/>
                              </w:rPr>
                              <w:t>35</w:t>
                            </w:r>
                            <w:r>
                              <w:rPr>
                                <w:rFonts w:hint="default"/>
                              </w:rPr>
                              <w:t>番地の</w:t>
                            </w:r>
                            <w:r>
                              <w:rPr>
                                <w:rFonts w:hint="default"/>
                              </w:rPr>
                              <w:t>1</w:t>
                            </w:r>
                          </w:p>
                          <w:p>
                            <w:pPr>
                              <w:pStyle w:val="0"/>
                              <w:ind w:firstLine="1418" w:firstLineChars="709"/>
                              <w:rPr>
                                <w:rFonts w:hint="eastAsia"/>
                              </w:rPr>
                            </w:pPr>
                            <w:r>
                              <w:rPr>
                                <w:rFonts w:hint="eastAsia"/>
                              </w:rPr>
                              <w:t>電話番号（代表）：</w:t>
                            </w:r>
                            <w:r>
                              <w:rPr>
                                <w:rFonts w:hint="default"/>
                              </w:rPr>
                              <w:t>072-471-5678</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40;mso-wrap-distance-left:9pt;width:285.75pt;height:153pt;mso-wrap-mode:square;mso-position-horizontal-relative:margin;position:absolute;margin-left:75.7pt;margin-top:223pt;mso-wrap-distance-bottom:3.6pt;mso-wrap-distance-right:9pt;mso-wrap-distance-top:3.6pt;v-text-anchor:top;" o:spid="_x0000_s1083" o:allowincell="t" o:allowoverlap="t" filled="t" fillcolor="#ffffff" stroked="t" strokecolor="#000000" strokeweight="0.75pt" o:spt="202" type="#_x0000_t202">
                <v:fill/>
                <v:stroke miterlimit="8" filltype="solid"/>
                <v:textbox style="layout-flow:horizontal;">
                  <w:txbxContent>
                    <w:p>
                      <w:pPr>
                        <w:pStyle w:val="0"/>
                        <w:jc w:val="center"/>
                        <w:rPr>
                          <w:rFonts w:hint="default"/>
                          <w:b w:val="1"/>
                          <w:sz w:val="24"/>
                        </w:rPr>
                      </w:pPr>
                      <w:r>
                        <w:rPr>
                          <w:rFonts w:hint="eastAsia"/>
                          <w:b w:val="1"/>
                          <w:sz w:val="24"/>
                        </w:rPr>
                        <w:t>阪南市学校施設長寿命化個別計画</w:t>
                      </w:r>
                    </w:p>
                    <w:p>
                      <w:pPr>
                        <w:pStyle w:val="0"/>
                        <w:jc w:val="center"/>
                        <w:rPr>
                          <w:rFonts w:hint="default"/>
                          <w:b w:val="1"/>
                        </w:rPr>
                      </w:pPr>
                    </w:p>
                    <w:p>
                      <w:pPr>
                        <w:pStyle w:val="0"/>
                        <w:jc w:val="center"/>
                        <w:rPr>
                          <w:rFonts w:hint="default"/>
                        </w:rPr>
                      </w:pPr>
                      <w:r>
                        <w:rPr>
                          <w:rFonts w:hint="eastAsia"/>
                        </w:rPr>
                        <w:t>令和３年（</w:t>
                      </w:r>
                      <w:r>
                        <w:rPr>
                          <w:rFonts w:hint="eastAsia"/>
                        </w:rPr>
                        <w:t>202</w:t>
                      </w:r>
                      <w:r>
                        <w:rPr>
                          <w:rFonts w:hint="default"/>
                        </w:rPr>
                        <w:t>1</w:t>
                      </w:r>
                      <w:r>
                        <w:rPr>
                          <w:rFonts w:hint="eastAsia"/>
                        </w:rPr>
                        <w:t>年）３月策定</w:t>
                      </w:r>
                    </w:p>
                    <w:p>
                      <w:pPr>
                        <w:pStyle w:val="0"/>
                        <w:jc w:val="center"/>
                        <w:rPr>
                          <w:rFonts w:hint="default"/>
                          <w:b w:val="1"/>
                        </w:rPr>
                      </w:pPr>
                    </w:p>
                    <w:p>
                      <w:pPr>
                        <w:pStyle w:val="0"/>
                        <w:ind w:firstLine="902" w:firstLineChars="451"/>
                        <w:rPr>
                          <w:rFonts w:hint="default"/>
                        </w:rPr>
                      </w:pPr>
                      <w:r>
                        <w:rPr>
                          <w:rFonts w:hint="eastAsia"/>
                        </w:rPr>
                        <w:t>編集：阪南市教育総務課</w:t>
                      </w:r>
                    </w:p>
                    <w:p>
                      <w:pPr>
                        <w:pStyle w:val="0"/>
                        <w:ind w:firstLine="1418" w:firstLineChars="709"/>
                        <w:rPr>
                          <w:rFonts w:hint="default"/>
                        </w:rPr>
                      </w:pPr>
                      <w:r>
                        <w:rPr>
                          <w:rFonts w:hint="eastAsia"/>
                        </w:rPr>
                        <w:t>〒</w:t>
                      </w:r>
                      <w:r>
                        <w:rPr>
                          <w:rFonts w:hint="default"/>
                        </w:rPr>
                        <w:t>599-0292</w:t>
                      </w:r>
                    </w:p>
                    <w:p>
                      <w:pPr>
                        <w:pStyle w:val="0"/>
                        <w:ind w:firstLine="1418" w:firstLineChars="709"/>
                        <w:rPr>
                          <w:rFonts w:hint="default"/>
                        </w:rPr>
                      </w:pPr>
                      <w:r>
                        <w:rPr>
                          <w:rFonts w:hint="eastAsia"/>
                        </w:rPr>
                        <w:t>大阪府阪南市尾崎町</w:t>
                      </w:r>
                      <w:r>
                        <w:rPr>
                          <w:rFonts w:hint="default"/>
                        </w:rPr>
                        <w:t>35</w:t>
                      </w:r>
                      <w:r>
                        <w:rPr>
                          <w:rFonts w:hint="default"/>
                        </w:rPr>
                        <w:t>番地の</w:t>
                      </w:r>
                      <w:r>
                        <w:rPr>
                          <w:rFonts w:hint="default"/>
                        </w:rPr>
                        <w:t>1</w:t>
                      </w:r>
                    </w:p>
                    <w:p>
                      <w:pPr>
                        <w:pStyle w:val="0"/>
                        <w:ind w:firstLine="1418" w:firstLineChars="709"/>
                        <w:rPr>
                          <w:rFonts w:hint="eastAsia"/>
                        </w:rPr>
                      </w:pPr>
                      <w:r>
                        <w:rPr>
                          <w:rFonts w:hint="eastAsia"/>
                        </w:rPr>
                        <w:t>電話番号（代表）：</w:t>
                      </w:r>
                      <w:r>
                        <w:rPr>
                          <w:rFonts w:hint="default"/>
                        </w:rPr>
                        <w:t>072-471-5678</w:t>
                      </w:r>
                    </w:p>
                  </w:txbxContent>
                </v:textbox>
                <v:imagedata o:title=""/>
                <w10:wrap type="square" side="both" anchorx="margin" anchory="text"/>
              </v:shape>
            </w:pict>
          </mc:Fallback>
        </mc:AlternateContent>
      </w:r>
    </w:p>
    <w:p>
      <w:pPr>
        <w:pStyle w:val="0"/>
        <w:rPr>
          <w:rFonts w:hint="default"/>
        </w:rPr>
      </w:pPr>
    </w:p>
    <w:sectPr>
      <w:footerReference r:id="rId8" w:type="default"/>
      <w:pgSz w:w="11906" w:h="16838"/>
      <w:pgMar w:top="1418" w:right="1418" w:bottom="1418" w:left="1418" w:header="851" w:footer="992" w:gutter="0"/>
      <w:cols w:space="720"/>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ＭＳ Ｐ明朝">
    <w:panose1 w:val="000008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Style w:val="56"/>
            <w:rFonts w:hint="eastAsia"/>
          </w:rPr>
          <w:t>61</w:t>
        </w:r>
        <w:r>
          <w:rPr>
            <w:rFonts w:hint="eastAsia"/>
          </w:rPr>
          <w:fldChar w:fldCharType="end"/>
        </w:r>
      </w:p>
    </w:sdtContent>
  </w:sdt>
  <w:p>
    <w:pPr>
      <w:pStyle w:val="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B45EFCEA"/>
    <w:lvl w:ilvl="0">
      <w:start w:val="1"/>
      <w:numFmt w:val="decimalFullWidth"/>
      <w:pStyle w:val="1"/>
      <w:suff w:val="space"/>
      <w:lvlText w:val="第%1章"/>
      <w:lvlJc w:val="left"/>
      <w:pPr>
        <w:ind w:left="425" w:hanging="425"/>
      </w:pPr>
      <w:rPr>
        <w:rFonts w:hint="eastAsia" w:ascii="ＭＳ Ｐ明朝" w:hAnsi="ＭＳ Ｐ明朝" w:eastAsia="ＭＳ Ｐ明朝"/>
      </w:rPr>
    </w:lvl>
    <w:lvl w:ilvl="1">
      <w:start w:val="1"/>
      <w:numFmt w:val="decimalFullWidth"/>
      <w:pStyle w:val="2"/>
      <w:suff w:val="space"/>
      <w:lvlText w:val="%2"/>
      <w:lvlJc w:val="left"/>
      <w:pPr>
        <w:ind w:left="425" w:hanging="425"/>
      </w:pPr>
      <w:rPr>
        <w:rFonts w:hint="eastAsia" w:ascii="ＭＳ Ｐ明朝" w:hAnsi="ＭＳ Ｐ明朝" w:eastAsia="ＭＳ Ｐ明朝"/>
      </w:rPr>
    </w:lvl>
    <w:lvl w:ilvl="2">
      <w:start w:val="1"/>
      <w:numFmt w:val="decimalFullWidth"/>
      <w:pStyle w:val="3"/>
      <w:suff w:val="space"/>
      <w:lvlText w:val="（%3）"/>
      <w:lvlJc w:val="left"/>
      <w:pPr>
        <w:ind w:left="425" w:hanging="425"/>
      </w:pPr>
      <w:rPr>
        <w:rFonts w:hint="eastAsia" w:ascii="ＭＳ Ｐ明朝" w:hAnsi="ＭＳ Ｐ明朝" w:eastAsia="ＭＳ Ｐ明朝"/>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
    <w:nsid w:val="00000002"/>
    <w:multiLevelType w:val="hybridMultilevel"/>
    <w:tmpl w:val="5C64E176"/>
    <w:lvl w:ilvl="0" w:tplc="10C6BFEC">
      <w:start w:val="1"/>
      <w:numFmt w:val="decimalEnclosedCircle"/>
      <w:suff w:val="nothing"/>
      <w:lvlText w:val="%1"/>
      <w:lvlJc w:val="left"/>
      <w:pPr>
        <w:ind w:left="510" w:hanging="397"/>
      </w:pPr>
      <w:rPr>
        <w:rFonts w:hint="default"/>
      </w:rPr>
    </w:lvl>
    <w:lvl w:ilvl="1" w:tplc="04090017">
      <w:start w:val="1"/>
      <w:numFmt w:val="aiueoFullWidth"/>
      <w:lvlText w:val="(%2)"/>
      <w:lvlJc w:val="left"/>
      <w:pPr>
        <w:ind w:left="1140" w:hanging="420"/>
      </w:pPr>
    </w:lvl>
    <w:lvl w:ilvl="2" w:tplc="04090011">
      <w:start w:val="1"/>
      <w:numFmt w:val="decimalEnclosedCircle"/>
      <w:lvlText w:val="%3"/>
      <w:lvlJc w:val="left"/>
      <w:pPr>
        <w:ind w:left="1560" w:hanging="420"/>
      </w:pPr>
    </w:lvl>
    <w:lvl w:ilvl="3" w:tplc="0409000F">
      <w:start w:val="1"/>
      <w:numFmt w:val="decimal"/>
      <w:lvlText w:val="%4."/>
      <w:lvlJc w:val="left"/>
      <w:pPr>
        <w:ind w:left="1980" w:hanging="420"/>
      </w:pPr>
    </w:lvl>
    <w:lvl w:ilvl="4" w:tplc="04090017">
      <w:start w:val="1"/>
      <w:numFmt w:val="aiueoFullWidth"/>
      <w:lvlText w:val="(%5)"/>
      <w:lvlJc w:val="left"/>
      <w:pPr>
        <w:ind w:left="2400" w:hanging="420"/>
      </w:pPr>
    </w:lvl>
    <w:lvl w:ilvl="5" w:tplc="04090011">
      <w:start w:val="1"/>
      <w:numFmt w:val="decimalEnclosedCircle"/>
      <w:lvlText w:val="%6"/>
      <w:lvlJc w:val="left"/>
      <w:pPr>
        <w:ind w:left="2820" w:hanging="420"/>
      </w:pPr>
    </w:lvl>
    <w:lvl w:ilvl="6" w:tplc="0409000F">
      <w:start w:val="1"/>
      <w:numFmt w:val="decimal"/>
      <w:lvlText w:val="%7."/>
      <w:lvlJc w:val="left"/>
      <w:pPr>
        <w:ind w:left="3240" w:hanging="420"/>
      </w:pPr>
    </w:lvl>
    <w:lvl w:ilvl="7" w:tplc="04090017">
      <w:start w:val="1"/>
      <w:numFmt w:val="aiueoFullWidth"/>
      <w:lvlText w:val="(%8)"/>
      <w:lvlJc w:val="left"/>
      <w:pPr>
        <w:ind w:left="3660" w:hanging="420"/>
      </w:pPr>
    </w:lvl>
    <w:lvl w:ilvl="8" w:tplc="04090011">
      <w:start w:val="1"/>
      <w:numFmt w:val="decimalEnclosedCircle"/>
      <w:lvlText w:val="%9"/>
      <w:lvlJc w:val="left"/>
      <w:pPr>
        <w:ind w:left="4080" w:hanging="420"/>
      </w:pPr>
    </w:lvl>
  </w:abstractNum>
  <w:abstractNum w:abstractNumId="2">
    <w:nsid w:val="00000003"/>
    <w:multiLevelType w:val="hybridMultilevel"/>
    <w:tmpl w:val="135AC9A8"/>
    <w:lvl w:ilvl="0" w:tplc="A0C8BF80">
      <w:numFmt w:val="bullet"/>
      <w:lvlText w:val="※"/>
      <w:lvlJc w:val="left"/>
      <w:pPr>
        <w:ind w:left="420" w:hanging="420"/>
      </w:pPr>
      <w:rPr>
        <w:rFonts w:hint="eastAsia" w:ascii="ＭＳ Ｐ明朝" w:hAnsi="ＭＳ Ｐ明朝" w:eastAsia="ＭＳ Ｐ明朝"/>
        <w:sz w:val="18"/>
      </w:rPr>
    </w:lvl>
    <w:lvl w:ilvl="1" w:tplc="8580DF2A">
      <w:numFmt w:val="bullet"/>
      <w:suff w:val="space"/>
      <w:lvlText w:val="※"/>
      <w:lvlJc w:val="left"/>
      <w:pPr>
        <w:ind w:left="6031" w:hanging="360"/>
      </w:pPr>
      <w:rPr>
        <w:rFonts w:hint="eastAsia" w:ascii="ＭＳ Ｐ明朝" w:hAnsi="ＭＳ Ｐ明朝" w:eastAsia="ＭＳ Ｐ明朝"/>
      </w:rPr>
    </w:lvl>
    <w:lvl w:ilvl="2" w:tplc="C99CE664">
      <w:start w:val="1"/>
      <w:numFmt w:val="decimalEnclosedCircle"/>
      <w:lvlText w:val="%3"/>
      <w:lvlJc w:val="left"/>
      <w:pPr>
        <w:ind w:left="1200" w:hanging="360"/>
      </w:pPr>
      <w:rPr>
        <w:rFonts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79729834"/>
    <w:lvl w:ilvl="0" w:tplc="A220244A">
      <w:start w:val="1"/>
      <w:numFmt w:val="decimalEnclosedCircle"/>
      <w:suff w:val="space"/>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0000005"/>
    <w:multiLevelType w:val="hybridMultilevel"/>
    <w:tmpl w:val="79729834"/>
    <w:lvl w:ilvl="0" w:tplc="A220244A">
      <w:start w:val="1"/>
      <w:numFmt w:val="decimalEnclosedCircle"/>
      <w:suff w:val="space"/>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00000006"/>
    <w:multiLevelType w:val="hybridMultilevel"/>
    <w:tmpl w:val="CD2806DA"/>
    <w:lvl w:ilvl="0" w:tplc="A220244A">
      <w:start w:val="1"/>
      <w:numFmt w:val="decimalEnclosedCircle"/>
      <w:suff w:val="space"/>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oNotDisplayPageBoundaries/>
  <w:mirrorMargins/>
  <w:bordersDoNotSurroundHeader/>
  <w:bordersDoNotSurroundFooter/>
  <w:defaultTabStop w:val="840"/>
  <w:drawingGridHorizontalSpacing w:val="10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Ｐゴシック" w:hAnsi="ＭＳ Ｐゴシック" w:eastAsia="ＭＳ Ｐゴシック"/>
        <w:spacing w:val="-20"/>
        <w:kern w:val="2"/>
        <w:sz w:val="22"/>
      </w:rPr>
    </w:rPrDefault>
  </w:docDefaults>
  <w:style w:type="paragraph" w:styleId="0" w:default="1">
    <w:name w:val="Normal"/>
    <w:next w:val="0"/>
    <w:link w:val="0"/>
    <w:uiPriority w:val="0"/>
    <w:qFormat/>
    <w:pPr>
      <w:widowControl w:val="0"/>
      <w:jc w:val="both"/>
    </w:pPr>
    <w:rPr>
      <w:rFonts w:ascii="ＭＳ Ｐ明朝" w:hAnsi="ＭＳ Ｐ明朝" w:eastAsia="ＭＳ Ｐ明朝"/>
      <w:spacing w:val="0"/>
      <w:sz w:val="20"/>
    </w:rPr>
  </w:style>
  <w:style w:type="paragraph" w:styleId="1">
    <w:name w:val="heading 1"/>
    <w:basedOn w:val="0"/>
    <w:next w:val="0"/>
    <w:link w:val="21"/>
    <w:uiPriority w:val="0"/>
    <w:qFormat/>
    <w:pPr>
      <w:keepNext w:val="1"/>
      <w:numPr>
        <w:ilvl w:val="0"/>
        <w:numId w:val="1"/>
      </w:numPr>
      <w:pBdr>
        <w:bottom w:val="thickThinSmallGap" w:color="auto" w:sz="24" w:space="1"/>
      </w:pBdr>
      <w:outlineLvl w:val="0"/>
    </w:pPr>
    <w:rPr>
      <w:rFonts w:asciiTheme="majorHAnsi" w:hAnsiTheme="majorHAnsi"/>
      <w:b w:val="1"/>
      <w:color w:val="000000" w:themeColor="text1"/>
      <w:sz w:val="32"/>
    </w:rPr>
  </w:style>
  <w:style w:type="paragraph" w:styleId="2">
    <w:name w:val="heading 2"/>
    <w:basedOn w:val="0"/>
    <w:next w:val="0"/>
    <w:link w:val="22"/>
    <w:uiPriority w:val="0"/>
    <w:qFormat/>
    <w:pPr>
      <w:keepNext w:val="1"/>
      <w:numPr>
        <w:ilvl w:val="1"/>
        <w:numId w:val="1"/>
      </w:numPr>
      <w:shd w:val="solid" w:themeColor="accent6" w:themeTint="33" w:themeShade="FF" w:fill="auto"/>
      <w:spacing w:line="360" w:lineRule="exact"/>
      <w:outlineLvl w:val="1"/>
    </w:pPr>
    <w:rPr>
      <w:rFonts w:asciiTheme="majorHAnsi" w:hAnsiTheme="majorHAnsi"/>
      <w:b w:val="1"/>
      <w:color w:val="000000" w:themeColor="text1"/>
      <w:sz w:val="28"/>
    </w:rPr>
  </w:style>
  <w:style w:type="paragraph" w:styleId="3">
    <w:name w:val="heading 3"/>
    <w:basedOn w:val="0"/>
    <w:next w:val="0"/>
    <w:link w:val="23"/>
    <w:uiPriority w:val="0"/>
    <w:qFormat/>
    <w:pPr>
      <w:keepNext w:val="1"/>
      <w:numPr>
        <w:ilvl w:val="2"/>
        <w:numId w:val="1"/>
      </w:numPr>
      <w:pBdr>
        <w:bottom w:val="dashed" w:color="auto" w:sz="4" w:space="1"/>
      </w:pBdr>
      <w:outlineLvl w:val="2"/>
    </w:pPr>
    <w:rPr>
      <w:sz w:val="24"/>
    </w:rPr>
  </w:style>
  <w:style w:type="paragraph" w:styleId="4">
    <w:name w:val="heading 4"/>
    <w:basedOn w:val="0"/>
    <w:next w:val="0"/>
    <w:link w:val="24"/>
    <w:uiPriority w:val="0"/>
    <w:qFormat/>
    <w:pPr>
      <w:keepNext w:val="1"/>
      <w:numPr>
        <w:ilvl w:val="3"/>
        <w:numId w:val="1"/>
      </w:numPr>
      <w:outlineLvl w:val="3"/>
    </w:pPr>
    <w:rPr>
      <w:b w:val="1"/>
    </w:rPr>
  </w:style>
  <w:style w:type="paragraph" w:styleId="5">
    <w:name w:val="heading 5"/>
    <w:basedOn w:val="0"/>
    <w:next w:val="0"/>
    <w:link w:val="25"/>
    <w:uiPriority w:val="0"/>
    <w:qFormat/>
    <w:pPr>
      <w:keepNext w:val="1"/>
      <w:numPr>
        <w:ilvl w:val="4"/>
        <w:numId w:val="1"/>
      </w:numPr>
      <w:outlineLvl w:val="4"/>
    </w:pPr>
    <w:rPr>
      <w:rFonts w:asciiTheme="majorHAnsi" w:hAnsiTheme="majorHAnsi" w:eastAsiaTheme="majorEastAsia"/>
    </w:rPr>
  </w:style>
  <w:style w:type="paragraph" w:styleId="6">
    <w:name w:val="heading 6"/>
    <w:basedOn w:val="0"/>
    <w:next w:val="0"/>
    <w:link w:val="26"/>
    <w:uiPriority w:val="0"/>
    <w:qFormat/>
    <w:pPr>
      <w:keepNext w:val="1"/>
      <w:numPr>
        <w:ilvl w:val="5"/>
        <w:numId w:val="1"/>
      </w:numPr>
      <w:outlineLvl w:val="5"/>
    </w:pPr>
    <w:rPr>
      <w:b w:val="1"/>
    </w:rPr>
  </w:style>
  <w:style w:type="paragraph" w:styleId="7">
    <w:name w:val="heading 7"/>
    <w:basedOn w:val="0"/>
    <w:next w:val="0"/>
    <w:link w:val="27"/>
    <w:uiPriority w:val="0"/>
    <w:qFormat/>
    <w:pPr>
      <w:keepNext w:val="1"/>
      <w:numPr>
        <w:ilvl w:val="6"/>
        <w:numId w:val="1"/>
      </w:numPr>
      <w:outlineLvl w:val="6"/>
    </w:pPr>
  </w:style>
  <w:style w:type="paragraph" w:styleId="8">
    <w:name w:val="heading 8"/>
    <w:basedOn w:val="0"/>
    <w:next w:val="0"/>
    <w:link w:val="28"/>
    <w:uiPriority w:val="0"/>
    <w:qFormat/>
    <w:pPr>
      <w:keepNext w:val="1"/>
      <w:numPr>
        <w:ilvl w:val="7"/>
        <w:numId w:val="1"/>
      </w:numPr>
      <w:outlineLvl w:val="7"/>
    </w:pPr>
  </w:style>
  <w:style w:type="paragraph" w:styleId="9">
    <w:name w:val="heading 9"/>
    <w:basedOn w:val="0"/>
    <w:next w:val="0"/>
    <w:link w:val="29"/>
    <w:uiPriority w:val="0"/>
    <w:qFormat/>
    <w:pPr>
      <w:keepNext w:val="1"/>
      <w:numPr>
        <w:ilvl w:val="8"/>
        <w:numId w:val="1"/>
      </w:numPr>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rPr>
      <w:rFonts w:ascii="ＭＳ Ｐ明朝" w:hAnsi="ＭＳ Ｐ明朝" w:eastAsia="ＭＳ Ｐ明朝"/>
      <w:spacing w:val="0"/>
      <w:sz w:val="20"/>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ＭＳ Ｐ明朝" w:hAnsi="ＭＳ Ｐ明朝" w:eastAsia="ＭＳ Ｐ明朝"/>
      <w:spacing w:val="0"/>
      <w:sz w:val="20"/>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ＭＳ Ｐ明朝" w:hAnsi="ＭＳ Ｐ明朝" w:eastAsia="ＭＳ Ｐ明朝"/>
      <w:spacing w:val="0"/>
      <w:sz w:val="20"/>
    </w:rPr>
  </w:style>
  <w:style w:type="character" w:styleId="21" w:customStyle="1">
    <w:name w:val="見出し 1 (文字)"/>
    <w:basedOn w:val="10"/>
    <w:next w:val="21"/>
    <w:link w:val="1"/>
    <w:uiPriority w:val="0"/>
    <w:rPr>
      <w:rFonts w:eastAsia="ＭＳ Ｐ明朝" w:asciiTheme="majorHAnsi" w:hAnsiTheme="majorHAnsi"/>
      <w:b w:val="1"/>
      <w:color w:val="000000" w:themeColor="text1"/>
      <w:spacing w:val="0"/>
      <w:sz w:val="32"/>
    </w:rPr>
  </w:style>
  <w:style w:type="character" w:styleId="22" w:customStyle="1">
    <w:name w:val="見出し 2 (文字)"/>
    <w:basedOn w:val="10"/>
    <w:next w:val="22"/>
    <w:link w:val="2"/>
    <w:uiPriority w:val="0"/>
    <w:rPr>
      <w:rFonts w:eastAsia="ＭＳ Ｐ明朝" w:asciiTheme="majorHAnsi" w:hAnsiTheme="majorHAnsi"/>
      <w:b w:val="1"/>
      <w:color w:val="000000" w:themeColor="text1"/>
      <w:spacing w:val="0"/>
      <w:sz w:val="28"/>
      <w:shd w:val="solid" w:themeColor="accent6" w:themeTint="33" w:themeShade="FF" w:fill="auto"/>
    </w:rPr>
  </w:style>
  <w:style w:type="character" w:styleId="23" w:customStyle="1">
    <w:name w:val="見出し 3 (文字)"/>
    <w:basedOn w:val="10"/>
    <w:next w:val="23"/>
    <w:link w:val="3"/>
    <w:uiPriority w:val="0"/>
    <w:rPr>
      <w:rFonts w:ascii="ＭＳ Ｐ明朝" w:hAnsi="ＭＳ Ｐ明朝" w:eastAsia="ＭＳ Ｐ明朝"/>
      <w:spacing w:val="0"/>
      <w:sz w:val="24"/>
    </w:rPr>
  </w:style>
  <w:style w:type="character" w:styleId="24" w:customStyle="1">
    <w:name w:val="見出し 4 (文字)"/>
    <w:basedOn w:val="10"/>
    <w:next w:val="24"/>
    <w:link w:val="4"/>
    <w:uiPriority w:val="0"/>
    <w:rPr>
      <w:rFonts w:ascii="ＭＳ Ｐ明朝" w:hAnsi="ＭＳ Ｐ明朝" w:eastAsia="ＭＳ Ｐ明朝"/>
      <w:b w:val="1"/>
      <w:spacing w:val="0"/>
      <w:sz w:val="20"/>
    </w:rPr>
  </w:style>
  <w:style w:type="character" w:styleId="25" w:customStyle="1">
    <w:name w:val="見出し 5 (文字)"/>
    <w:basedOn w:val="10"/>
    <w:next w:val="25"/>
    <w:link w:val="5"/>
    <w:uiPriority w:val="0"/>
    <w:rPr>
      <w:rFonts w:asciiTheme="majorHAnsi" w:hAnsiTheme="majorHAnsi" w:eastAsiaTheme="majorEastAsia"/>
      <w:spacing w:val="0"/>
      <w:sz w:val="20"/>
    </w:rPr>
  </w:style>
  <w:style w:type="character" w:styleId="26" w:customStyle="1">
    <w:name w:val="見出し 6 (文字)"/>
    <w:basedOn w:val="10"/>
    <w:next w:val="26"/>
    <w:link w:val="6"/>
    <w:uiPriority w:val="0"/>
    <w:rPr>
      <w:rFonts w:ascii="ＭＳ Ｐ明朝" w:hAnsi="ＭＳ Ｐ明朝" w:eastAsia="ＭＳ Ｐ明朝"/>
      <w:b w:val="1"/>
      <w:spacing w:val="0"/>
      <w:sz w:val="20"/>
    </w:rPr>
  </w:style>
  <w:style w:type="character" w:styleId="27" w:customStyle="1">
    <w:name w:val="見出し 7 (文字)"/>
    <w:basedOn w:val="10"/>
    <w:next w:val="27"/>
    <w:link w:val="7"/>
    <w:uiPriority w:val="0"/>
    <w:rPr>
      <w:rFonts w:ascii="ＭＳ Ｐ明朝" w:hAnsi="ＭＳ Ｐ明朝" w:eastAsia="ＭＳ Ｐ明朝"/>
      <w:spacing w:val="0"/>
      <w:sz w:val="20"/>
    </w:rPr>
  </w:style>
  <w:style w:type="character" w:styleId="28" w:customStyle="1">
    <w:name w:val="見出し 8 (文字)"/>
    <w:basedOn w:val="10"/>
    <w:next w:val="28"/>
    <w:link w:val="8"/>
    <w:uiPriority w:val="0"/>
    <w:rPr>
      <w:rFonts w:ascii="ＭＳ Ｐ明朝" w:hAnsi="ＭＳ Ｐ明朝" w:eastAsia="ＭＳ Ｐ明朝"/>
      <w:spacing w:val="0"/>
      <w:sz w:val="20"/>
    </w:rPr>
  </w:style>
  <w:style w:type="character" w:styleId="29" w:customStyle="1">
    <w:name w:val="見出し 9 (文字)"/>
    <w:basedOn w:val="10"/>
    <w:next w:val="29"/>
    <w:link w:val="9"/>
    <w:uiPriority w:val="0"/>
    <w:rPr>
      <w:rFonts w:ascii="ＭＳ Ｐ明朝" w:hAnsi="ＭＳ Ｐ明朝" w:eastAsia="ＭＳ Ｐ明朝"/>
      <w:spacing w:val="0"/>
      <w:sz w:val="20"/>
    </w:rPr>
  </w:style>
  <w:style w:type="paragraph" w:styleId="30">
    <w:name w:val="toc 1"/>
    <w:basedOn w:val="0"/>
    <w:next w:val="0"/>
    <w:link w:val="0"/>
    <w:uiPriority w:val="0"/>
  </w:style>
  <w:style w:type="paragraph" w:styleId="31">
    <w:name w:val="toc 2"/>
    <w:basedOn w:val="0"/>
    <w:next w:val="0"/>
    <w:link w:val="0"/>
    <w:uiPriority w:val="0"/>
    <w:pPr>
      <w:ind w:left="200" w:leftChars="100"/>
    </w:pPr>
  </w:style>
  <w:style w:type="character" w:styleId="32">
    <w:name w:val="Hyperlink"/>
    <w:basedOn w:val="10"/>
    <w:next w:val="32"/>
    <w:link w:val="0"/>
    <w:uiPriority w:val="0"/>
    <w:rPr>
      <w:color w:val="0563C1" w:themeColor="hyperlink"/>
      <w:u w:val="single" w:color="auto"/>
    </w:rPr>
  </w:style>
  <w:style w:type="paragraph" w:styleId="33">
    <w:name w:val="caption"/>
    <w:basedOn w:val="0"/>
    <w:next w:val="0"/>
    <w:link w:val="0"/>
    <w:uiPriority w:val="0"/>
    <w:semiHidden/>
    <w:qFormat/>
    <w:pPr>
      <w:jc w:val="center"/>
    </w:pPr>
    <w:rPr>
      <w:b w:val="1"/>
    </w:rPr>
  </w:style>
  <w:style w:type="paragraph" w:styleId="34">
    <w:name w:val="List Paragraph"/>
    <w:basedOn w:val="0"/>
    <w:next w:val="34"/>
    <w:link w:val="0"/>
    <w:uiPriority w:val="0"/>
    <w:qFormat/>
    <w:pPr>
      <w:ind w:left="840" w:leftChars="400"/>
    </w:pPr>
  </w:style>
  <w:style w:type="paragraph" w:styleId="35">
    <w:name w:val="Balloon Text"/>
    <w:basedOn w:val="0"/>
    <w:next w:val="35"/>
    <w:link w:val="36"/>
    <w:uiPriority w:val="0"/>
    <w:semiHidden/>
    <w:rPr>
      <w:rFonts w:asciiTheme="majorHAnsi" w:hAnsiTheme="majorHAnsi" w:eastAsiaTheme="majorEastAsia"/>
      <w:sz w:val="18"/>
    </w:rPr>
  </w:style>
  <w:style w:type="character" w:styleId="36" w:customStyle="1">
    <w:name w:val="吹き出し (文字)"/>
    <w:basedOn w:val="10"/>
    <w:next w:val="36"/>
    <w:link w:val="35"/>
    <w:uiPriority w:val="0"/>
    <w:rPr>
      <w:rFonts w:asciiTheme="majorHAnsi" w:hAnsiTheme="majorHAnsi" w:eastAsiaTheme="majorEastAsia"/>
      <w:spacing w:val="0"/>
      <w:sz w:val="18"/>
    </w:rPr>
  </w:style>
  <w:style w:type="character" w:styleId="37">
    <w:name w:val="annotation reference"/>
    <w:basedOn w:val="10"/>
    <w:next w:val="37"/>
    <w:link w:val="0"/>
    <w:uiPriority w:val="0"/>
    <w:semiHidden/>
    <w:rPr>
      <w:sz w:val="18"/>
    </w:rPr>
  </w:style>
  <w:style w:type="paragraph" w:styleId="38">
    <w:name w:val="annotation text"/>
    <w:basedOn w:val="0"/>
    <w:next w:val="38"/>
    <w:link w:val="39"/>
    <w:uiPriority w:val="0"/>
    <w:semiHidden/>
    <w:pPr>
      <w:jc w:val="left"/>
    </w:pPr>
  </w:style>
  <w:style w:type="character" w:styleId="39" w:customStyle="1">
    <w:name w:val="コメント文字列 (文字)"/>
    <w:basedOn w:val="10"/>
    <w:next w:val="39"/>
    <w:link w:val="38"/>
    <w:uiPriority w:val="0"/>
    <w:rPr>
      <w:rFonts w:ascii="ＭＳ Ｐ明朝" w:hAnsi="ＭＳ Ｐ明朝" w:eastAsia="ＭＳ Ｐ明朝"/>
      <w:spacing w:val="0"/>
    </w:rPr>
  </w:style>
  <w:style w:type="paragraph" w:styleId="40">
    <w:name w:val="annotation subject"/>
    <w:basedOn w:val="38"/>
    <w:next w:val="38"/>
    <w:link w:val="41"/>
    <w:uiPriority w:val="0"/>
    <w:semiHidden/>
    <w:rPr>
      <w:b w:val="1"/>
    </w:rPr>
  </w:style>
  <w:style w:type="character" w:styleId="41" w:customStyle="1">
    <w:name w:val="コメント内容 (文字)"/>
    <w:basedOn w:val="39"/>
    <w:next w:val="41"/>
    <w:link w:val="40"/>
    <w:uiPriority w:val="0"/>
    <w:rPr>
      <w:rFonts w:ascii="ＭＳ Ｐ明朝" w:hAnsi="ＭＳ Ｐ明朝" w:eastAsia="ＭＳ Ｐ明朝"/>
      <w:b w:val="1"/>
      <w:spacing w:val="0"/>
    </w:rPr>
  </w:style>
  <w:style w:type="paragraph" w:styleId="42">
    <w:name w:val="endnote text"/>
    <w:basedOn w:val="0"/>
    <w:next w:val="42"/>
    <w:link w:val="43"/>
    <w:uiPriority w:val="0"/>
    <w:semiHidden/>
    <w:pPr>
      <w:snapToGrid w:val="0"/>
      <w:jc w:val="left"/>
    </w:pPr>
  </w:style>
  <w:style w:type="character" w:styleId="43" w:customStyle="1">
    <w:name w:val="文末脚注文字列 (文字)"/>
    <w:basedOn w:val="10"/>
    <w:next w:val="43"/>
    <w:link w:val="42"/>
    <w:uiPriority w:val="0"/>
    <w:rPr>
      <w:rFonts w:ascii="ＭＳ Ｐ明朝" w:hAnsi="ＭＳ Ｐ明朝" w:eastAsia="ＭＳ Ｐ明朝"/>
      <w:spacing w:val="0"/>
      <w:sz w:val="20"/>
    </w:rPr>
  </w:style>
  <w:style w:type="character" w:styleId="44">
    <w:name w:val="endnote reference"/>
    <w:basedOn w:val="10"/>
    <w:next w:val="44"/>
    <w:link w:val="0"/>
    <w:uiPriority w:val="0"/>
    <w:semiHidden/>
    <w:rPr>
      <w:vertAlign w:val="superscript"/>
    </w:rPr>
  </w:style>
  <w:style w:type="paragraph" w:styleId="45">
    <w:name w:val="footnote text"/>
    <w:basedOn w:val="0"/>
    <w:next w:val="45"/>
    <w:link w:val="46"/>
    <w:uiPriority w:val="0"/>
    <w:semiHidden/>
    <w:pPr>
      <w:snapToGrid w:val="0"/>
      <w:jc w:val="left"/>
    </w:pPr>
  </w:style>
  <w:style w:type="character" w:styleId="46" w:customStyle="1">
    <w:name w:val="脚注文字列 (文字)"/>
    <w:basedOn w:val="10"/>
    <w:next w:val="46"/>
    <w:link w:val="45"/>
    <w:uiPriority w:val="0"/>
    <w:rPr>
      <w:rFonts w:ascii="ＭＳ Ｐ明朝" w:hAnsi="ＭＳ Ｐ明朝" w:eastAsia="ＭＳ Ｐ明朝"/>
      <w:spacing w:val="0"/>
      <w:sz w:val="20"/>
    </w:rPr>
  </w:style>
  <w:style w:type="character" w:styleId="47">
    <w:name w:val="footnote reference"/>
    <w:basedOn w:val="10"/>
    <w:next w:val="47"/>
    <w:link w:val="0"/>
    <w:uiPriority w:val="0"/>
    <w:semiHidden/>
    <w:rPr>
      <w:vertAlign w:val="superscript"/>
    </w:rPr>
  </w:style>
  <w:style w:type="paragraph" w:styleId="48">
    <w:name w:val="Revision"/>
    <w:next w:val="48"/>
    <w:link w:val="0"/>
    <w:uiPriority w:val="0"/>
    <w:rPr>
      <w:rFonts w:ascii="ＭＳ Ｐ明朝" w:hAnsi="ＭＳ Ｐ明朝" w:eastAsia="ＭＳ Ｐ明朝"/>
      <w:spacing w:val="0"/>
      <w:sz w:val="20"/>
    </w:rPr>
  </w:style>
  <w:style w:type="paragraph" w:styleId="49">
    <w:name w:val="Body Text 2"/>
    <w:basedOn w:val="0"/>
    <w:next w:val="49"/>
    <w:link w:val="50"/>
    <w:uiPriority w:val="0"/>
    <w:qFormat/>
    <w:pPr>
      <w:widowControl w:val="1"/>
      <w:ind w:left="50" w:leftChars="50" w:firstLine="100" w:firstLineChars="100"/>
      <w:jc w:val="left"/>
    </w:pPr>
  </w:style>
  <w:style w:type="character" w:styleId="50" w:customStyle="1">
    <w:name w:val="本文 2 (文字)"/>
    <w:basedOn w:val="10"/>
    <w:next w:val="50"/>
    <w:link w:val="49"/>
    <w:uiPriority w:val="0"/>
    <w:rPr>
      <w:rFonts w:ascii="ＭＳ Ｐ明朝" w:hAnsi="ＭＳ Ｐ明朝" w:eastAsia="ＭＳ Ｐ明朝"/>
      <w:spacing w:val="0"/>
      <w:sz w:val="20"/>
    </w:rPr>
  </w:style>
  <w:style w:type="paragraph" w:styleId="51">
    <w:name w:val="Body Text 3"/>
    <w:basedOn w:val="34"/>
    <w:next w:val="51"/>
    <w:link w:val="52"/>
    <w:uiPriority w:val="0"/>
    <w:qFormat/>
    <w:pPr>
      <w:ind w:left="300" w:leftChars="150" w:firstLine="200" w:firstLineChars="100"/>
    </w:pPr>
  </w:style>
  <w:style w:type="character" w:styleId="52" w:customStyle="1">
    <w:name w:val="本文 3 (文字)"/>
    <w:basedOn w:val="10"/>
    <w:next w:val="52"/>
    <w:link w:val="51"/>
    <w:uiPriority w:val="0"/>
    <w:rPr>
      <w:rFonts w:ascii="ＭＳ Ｐ明朝" w:hAnsi="ＭＳ Ｐ明朝" w:eastAsia="ＭＳ Ｐ明朝"/>
      <w:spacing w:val="0"/>
      <w:sz w:val="20"/>
    </w:rPr>
  </w:style>
  <w:style w:type="paragraph" w:styleId="53">
    <w:name w:val="Body Text"/>
    <w:basedOn w:val="0"/>
    <w:next w:val="53"/>
    <w:link w:val="54"/>
    <w:uiPriority w:val="0"/>
  </w:style>
  <w:style w:type="character" w:styleId="54" w:customStyle="1">
    <w:name w:val="本文 (文字)"/>
    <w:basedOn w:val="10"/>
    <w:next w:val="54"/>
    <w:link w:val="53"/>
    <w:uiPriority w:val="0"/>
    <w:rPr>
      <w:rFonts w:ascii="ＭＳ Ｐ明朝" w:hAnsi="ＭＳ Ｐ明朝" w:eastAsia="ＭＳ Ｐ明朝"/>
      <w:spacing w:val="0"/>
      <w:sz w:val="20"/>
    </w:rPr>
  </w:style>
  <w:style w:type="paragraph" w:styleId="55">
    <w:name w:val="Normal Indent"/>
    <w:basedOn w:val="0"/>
    <w:next w:val="55"/>
    <w:link w:val="0"/>
    <w:uiPriority w:val="0"/>
    <w:pPr>
      <w:adjustRightInd w:val="0"/>
      <w:ind w:left="100" w:leftChars="100"/>
    </w:pPr>
    <w:rPr>
      <w:rFonts w:ascii="Century" w:hAnsi="Century" w:eastAsia="ＭＳ 明朝"/>
      <w:kern w:val="0"/>
      <w:sz w:val="21"/>
    </w:rPr>
  </w:style>
  <w:style w:type="character" w:styleId="56">
    <w:name w:val="page number"/>
    <w:basedOn w:val="10"/>
    <w:next w:val="56"/>
    <w:link w:val="0"/>
    <w:uiPriority w:val="0"/>
  </w:style>
  <w:style w:type="table" w:styleId="57">
    <w:name w:val="Table Grid"/>
    <w:basedOn w:val="11"/>
    <w:next w:val="5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8" w:customStyle="1">
    <w:name w:val="表 (格子)1"/>
    <w:basedOn w:val="11"/>
    <w:next w:val="5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jpg"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jpg" /><Relationship Id="rId13" Type="http://schemas.openxmlformats.org/officeDocument/2006/relationships/image" Target="media/image5.jpg" /><Relationship Id="rId14" Type="http://schemas.openxmlformats.org/officeDocument/2006/relationships/image" Target="media/image6.jpg" /><Relationship Id="rId15" Type="http://schemas.openxmlformats.org/officeDocument/2006/relationships/image" Target="media/image7.jpg" /><Relationship Id="rId16" Type="http://schemas.openxmlformats.org/officeDocument/2006/relationships/image" Target="media/image8.jpg" /><Relationship Id="rId17" Type="http://schemas.openxmlformats.org/officeDocument/2006/relationships/image" Target="media/image9.jpg" /><Relationship Id="rId18" Type="http://schemas.openxmlformats.org/officeDocument/2006/relationships/image" Target="media/image10.jpg" /><Relationship Id="rId19" Type="http://schemas.openxmlformats.org/officeDocument/2006/relationships/image" Target="media/image11.jpg" /><Relationship Id="rId20" Type="http://schemas.openxmlformats.org/officeDocument/2006/relationships/image" Target="media/image12.jpg" /><Relationship Id="rId21" Type="http://schemas.openxmlformats.org/officeDocument/2006/relationships/image" Target="media/image13.jpg" /><Relationship Id="rId22" Type="http://schemas.openxmlformats.org/officeDocument/2006/relationships/image" Target="media/image14.jpg" /><Relationship Id="rId23" Type="http://schemas.openxmlformats.org/officeDocument/2006/relationships/image" Target="media/image15.jpg" /><Relationship Id="rId24" Type="http://schemas.openxmlformats.org/officeDocument/2006/relationships/image" Target="media/image16.png" /><Relationship Id="rId25" Type="http://schemas.openxmlformats.org/officeDocument/2006/relationships/image" Target="media/image17.emf" /><Relationship Id="rId26" Type="http://schemas.openxmlformats.org/officeDocument/2006/relationships/chart" Target="charts/chart1.xml" /><Relationship Id="rId27" Type="http://schemas.openxmlformats.org/officeDocument/2006/relationships/chart" Target="charts/chart2.xml" /><Relationship Id="rId28" Type="http://schemas.openxmlformats.org/officeDocument/2006/relationships/chart" Target="charts/chart3.xml" /><Relationship Id="rId29" Type="http://schemas.openxmlformats.org/officeDocument/2006/relationships/chart" Target="charts/chart4.xml" /><Relationship Id="rId30" Type="http://schemas.openxmlformats.org/officeDocument/2006/relationships/chart" Target="charts/chart5.xml" /><Relationship Id="rId31" Type="http://schemas.openxmlformats.org/officeDocument/2006/relationships/chart" Target="charts/chart6.xml" /><Relationship Id="rId32" Type="http://schemas.openxmlformats.org/officeDocument/2006/relationships/image" Target="media/image18.jpg" /><Relationship Id="rId33" Type="http://schemas.openxmlformats.org/officeDocument/2006/relationships/chart" Target="charts/chart7.xml" /><Relationship Id="rId34" Type="http://schemas.openxmlformats.org/officeDocument/2006/relationships/image" Target="media/image19.emf"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emf" /><Relationship Id="rId40" Type="http://schemas.openxmlformats.org/officeDocument/2006/relationships/image" Target="media/image25.emf"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0" Type="http://schemas.openxmlformats.org/officeDocument/2006/relationships/image" Target="media/image35.emf" /><Relationship Id="rId51" Type="http://schemas.openxmlformats.org/officeDocument/2006/relationships/image" Target="media/image36.emf" /><Relationship Id="rId52" Type="http://schemas.openxmlformats.org/officeDocument/2006/relationships/image" Target="media/image37.emf" /><Relationship Id="rId53" Type="http://schemas.openxmlformats.org/officeDocument/2006/relationships/image" Target="media/image38.emf" /><Relationship Id="rId54" Type="http://schemas.openxmlformats.org/officeDocument/2006/relationships/image" Target="media/image39.jpg" /><Relationship Id="rId55" Type="http://schemas.openxmlformats.org/officeDocument/2006/relationships/image" Target="media/image40.emf" /><Relationship Id="rId56" Type="http://schemas.openxmlformats.org/officeDocument/2006/relationships/image" Target="media/image41.emf" /><Relationship Id="rId57" Type="http://schemas.openxmlformats.org/officeDocument/2006/relationships/image" Target="media/image42.emf" /><Relationship Id="rId58" Type="http://schemas.openxmlformats.org/officeDocument/2006/relationships/image" Target="media/image43.png" /><Relationship Id="rId59" Type="http://schemas.openxmlformats.org/officeDocument/2006/relationships/image" Target="media/image44.emf" /><Relationship Id="rId60" Type="http://schemas.openxmlformats.org/officeDocument/2006/relationships/image" Target="media/image45.emf" /><Relationship Id="rId61" Type="http://schemas.openxmlformats.org/officeDocument/2006/relationships/image" Target="media/image46.emf" /><Relationship Id="rId62" Type="http://schemas.openxmlformats.org/officeDocument/2006/relationships/package" Target="embeddings/oleObject1.xlsx" /><Relationship Id="rId63"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olors1.xml" /><Relationship Id="rId3" Type="http://schemas.microsoft.com/office/2011/relationships/chartStyle" Target="style1.xml" /></Relationships>
</file>

<file path=word/charts/_rels/chart2.xml.rels><?xml version="1.0" encoding="UTF-8"?><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olors2.xml" /><Relationship Id="rId3" Type="http://schemas.microsoft.com/office/2011/relationships/chartStyle" Target="style2.xml" /></Relationships>
</file>

<file path=word/charts/_rels/chart3.xml.rels><?xml version="1.0" encoding="UTF-8"?><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olors3.xml" /><Relationship Id="rId3" Type="http://schemas.microsoft.com/office/2011/relationships/chartStyle" Target="style3.xml" /></Relationships>
</file>

<file path=word/charts/_rels/chart4.xml.rels><?xml version="1.0" encoding="UTF-8"?><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olors4.xml" /><Relationship Id="rId3" Type="http://schemas.microsoft.com/office/2011/relationships/chartStyle" Target="style4.xml" /></Relationships>
</file>

<file path=word/charts/_rels/chart5.xml.rels><?xml version="1.0" encoding="UTF-8"?><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olors5.xml" /><Relationship Id="rId3" Type="http://schemas.microsoft.com/office/2011/relationships/chartStyle" Target="style5.xml" /></Relationships>
</file>

<file path=word/charts/_rels/chart6.xml.rels><?xml version="1.0" encoding="UTF-8"?><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olors6.xml" /><Relationship Id="rId3" Type="http://schemas.microsoft.com/office/2011/relationships/chartStyle" Target="style6.xml" /></Relationships>
</file>

<file path=word/charts/_rels/chart7.xml.rels><?xml version="1.0" encoding="UTF-8"?><Relationships xmlns="http://schemas.openxmlformats.org/package/2006/relationships"><Relationship Id="rId1" Type="http://schemas.openxmlformats.org/officeDocument/2006/relationships/package" Target="../embeddings/Microsoft_Excel_Worksheet7.xlsx" /><Relationship Id="rId2" Type="http://schemas.microsoft.com/office/2011/relationships/chartColorStyle" Target="colors7.xml" /><Relationship Id="rId3" Type="http://schemas.microsoft.com/office/2011/relationships/chartStyle" Target="style7.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81357538641e-002"/>
          <c:y val="5.9620596205962058e-002"/>
          <c:w val="0.8514390128317294"/>
          <c:h val="0.80808257712180587"/>
        </c:manualLayout>
      </c:layout>
      <c:barChart>
        <c:barDir val="col"/>
        <c:grouping val="stacked"/>
        <c:varyColors val="0"/>
        <c:ser>
          <c:idx val="0"/>
          <c:order val="0"/>
          <c:tx>
            <c:strRef>
              <c:f>Sheet1!$B$1</c:f>
              <c:strCache>
                <c:ptCount val="1"/>
                <c:pt idx="0">
                  <c:v>１年</c:v>
                </c:pt>
              </c:strCache>
            </c:strRef>
          </c:tx>
          <c:spPr>
            <a:solidFill>
              <a:schemeClr val="accent1">
                <a:lumMod val="20000"/>
                <a:lumOff val="80000"/>
              </a:schemeClr>
            </a:solidFill>
            <a:ln>
              <a:noFill/>
            </a:ln>
            <a:effectLst/>
          </c:spPr>
          <c:invertIfNegative val="0"/>
          <c:dPt>
            <c:idx val="1"/>
            <c:invertIfNegative val="0"/>
            <c:bubble3D val="0"/>
            <c:spPr>
              <a:solidFill>
                <a:schemeClr val="accent1">
                  <a:lumMod val="20000"/>
                  <a:lumOff val="80000"/>
                </a:schemeClr>
              </a:solidFill>
              <a:ln>
                <a:noFill/>
              </a:ln>
              <a:effectLst/>
            </c:spPr>
          </c:dPt>
          <c:dLbls>
            <c:dLbl>
              <c:idx val="1"/>
              <c:layout>
                <c:manualLayout>
                  <c:x val="-1.4134275618374601e-002"/>
                  <c:y val="0"/>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Sheet1!$B$2:$B$9</c:f>
              <c:numCache>
                <c:formatCode>General</c:formatCode>
                <c:ptCount val="8"/>
                <c:pt idx="0">
                  <c:v>47</c:v>
                </c:pt>
                <c:pt idx="1">
                  <c:v>22</c:v>
                </c:pt>
                <c:pt idx="2">
                  <c:v>43</c:v>
                </c:pt>
                <c:pt idx="3">
                  <c:v>88</c:v>
                </c:pt>
                <c:pt idx="4">
                  <c:v>32</c:v>
                </c:pt>
                <c:pt idx="5">
                  <c:v>46</c:v>
                </c:pt>
                <c:pt idx="6">
                  <c:v>53</c:v>
                </c:pt>
                <c:pt idx="7">
                  <c:v>59</c:v>
                </c:pt>
              </c:numCache>
            </c:numRef>
          </c:val>
        </c:ser>
        <c:ser>
          <c:idx val="1"/>
          <c:order val="1"/>
          <c:tx>
            <c:strRef>
              <c:f>Sheet1!$C$1</c:f>
              <c:strCache>
                <c:ptCount val="1"/>
                <c:pt idx="0">
                  <c:v>２年</c:v>
                </c:pt>
              </c:strCache>
            </c:strRef>
          </c:tx>
          <c:spPr>
            <a:solidFill>
              <a:schemeClr val="accent2">
                <a:lumMod val="20000"/>
                <a:lumOff val="80000"/>
              </a:schemeClr>
            </a:solidFill>
            <a:ln>
              <a:noFill/>
            </a:ln>
            <a:effectLst/>
          </c:spPr>
          <c:invertIfNegative val="0"/>
          <c:dPt>
            <c:idx val="1"/>
            <c:invertIfNegative val="0"/>
            <c:bubble3D val="0"/>
            <c:spPr>
              <a:solidFill>
                <a:schemeClr val="accent2">
                  <a:lumMod val="20000"/>
                  <a:lumOff val="80000"/>
                </a:schemeClr>
              </a:solidFill>
              <a:ln>
                <a:noFill/>
              </a:ln>
              <a:effectLst/>
            </c:spPr>
          </c:dPt>
          <c:dLbls>
            <c:dLbl>
              <c:idx val="1"/>
              <c:layout>
                <c:manualLayout>
                  <c:x val="1.6489988221436942e-002"/>
                  <c:y val="0"/>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Sheet1!$C$2:$C$9</c:f>
              <c:numCache>
                <c:formatCode>General</c:formatCode>
                <c:ptCount val="8"/>
                <c:pt idx="0">
                  <c:v>35</c:v>
                </c:pt>
                <c:pt idx="1">
                  <c:v>15</c:v>
                </c:pt>
                <c:pt idx="2">
                  <c:v>49</c:v>
                </c:pt>
                <c:pt idx="3">
                  <c:v>75</c:v>
                </c:pt>
                <c:pt idx="4">
                  <c:v>36</c:v>
                </c:pt>
                <c:pt idx="5">
                  <c:v>46</c:v>
                </c:pt>
                <c:pt idx="6">
                  <c:v>59</c:v>
                </c:pt>
                <c:pt idx="7">
                  <c:v>66</c:v>
                </c:pt>
              </c:numCache>
            </c:numRef>
          </c:val>
        </c:ser>
        <c:ser>
          <c:idx val="2"/>
          <c:order val="2"/>
          <c:tx>
            <c:strRef>
              <c:f>Sheet1!$D$1</c:f>
              <c:strCache>
                <c:ptCount val="1"/>
                <c:pt idx="0">
                  <c:v>３年</c:v>
                </c:pt>
              </c:strCache>
            </c:strRef>
          </c:tx>
          <c:spPr>
            <a:solidFill>
              <a:schemeClr val="accent6">
                <a:lumMod val="20000"/>
                <a:lumOff val="80000"/>
              </a:schemeClr>
            </a:solidFill>
            <a:ln>
              <a:noFill/>
            </a:ln>
            <a:effectLst/>
          </c:spPr>
          <c:invertIfNegative val="0"/>
          <c:dPt>
            <c:idx val="1"/>
            <c:invertIfNegative val="0"/>
            <c:bubble3D val="0"/>
            <c:spPr>
              <a:solidFill>
                <a:schemeClr val="accent6">
                  <a:lumMod val="20000"/>
                  <a:lumOff val="80000"/>
                </a:schemeClr>
              </a:solidFill>
              <a:ln>
                <a:noFill/>
              </a:ln>
              <a:effectLst/>
            </c:spPr>
          </c:dPt>
          <c:dLbls>
            <c:dLbl>
              <c:idx val="1"/>
              <c:layout>
                <c:manualLayout>
                  <c:x val="-1.4134275618374601e-002"/>
                  <c:y val="0"/>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Sheet1!$D$2:$D$9</c:f>
              <c:numCache>
                <c:formatCode>General</c:formatCode>
                <c:ptCount val="8"/>
                <c:pt idx="0">
                  <c:v>42</c:v>
                </c:pt>
                <c:pt idx="1">
                  <c:v>23</c:v>
                </c:pt>
                <c:pt idx="2">
                  <c:v>58</c:v>
                </c:pt>
                <c:pt idx="3">
                  <c:v>94</c:v>
                </c:pt>
                <c:pt idx="4">
                  <c:v>34</c:v>
                </c:pt>
                <c:pt idx="5">
                  <c:v>41</c:v>
                </c:pt>
                <c:pt idx="6">
                  <c:v>60</c:v>
                </c:pt>
                <c:pt idx="7">
                  <c:v>64</c:v>
                </c:pt>
              </c:numCache>
            </c:numRef>
          </c:val>
        </c:ser>
        <c:ser>
          <c:idx val="3"/>
          <c:order val="3"/>
          <c:tx>
            <c:strRef>
              <c:f>Sheet1!$E$1</c:f>
              <c:strCache>
                <c:ptCount val="1"/>
                <c:pt idx="0">
                  <c:v>４年</c:v>
                </c:pt>
              </c:strCache>
            </c:strRef>
          </c:tx>
          <c:spPr>
            <a:solidFill>
              <a:srgbClr val="F6D4F6"/>
            </a:solidFill>
            <a:ln>
              <a:noFill/>
            </a:ln>
            <a:effectLst/>
          </c:spPr>
          <c:invertIfNegative val="0"/>
          <c:dPt>
            <c:idx val="1"/>
            <c:invertIfNegative val="0"/>
            <c:bubble3D val="0"/>
            <c:spPr>
              <a:solidFill>
                <a:srgbClr val="F6D4F6"/>
              </a:solidFill>
              <a:ln>
                <a:noFill/>
              </a:ln>
              <a:effectLst/>
            </c:spPr>
          </c:dPt>
          <c:dLbls>
            <c:dLbl>
              <c:idx val="1"/>
              <c:layout>
                <c:manualLayout>
                  <c:x val="1.6489988221436942e-002"/>
                  <c:y val="-6.7549034308472702e-004"/>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ctr"/>
              <c:showLegendKey val="0"/>
              <c:showVal val="1"/>
              <c:showCatName val="0"/>
              <c:showSerName val="0"/>
              <c:showPercent val="0"/>
              <c:showBubbleSize val="0"/>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Sheet1!$E$2:$E$9</c:f>
              <c:numCache>
                <c:formatCode>General</c:formatCode>
                <c:ptCount val="8"/>
                <c:pt idx="0">
                  <c:v>59</c:v>
                </c:pt>
                <c:pt idx="1">
                  <c:v>29</c:v>
                </c:pt>
                <c:pt idx="2">
                  <c:v>46</c:v>
                </c:pt>
                <c:pt idx="3">
                  <c:v>99</c:v>
                </c:pt>
                <c:pt idx="4">
                  <c:v>35</c:v>
                </c:pt>
                <c:pt idx="5">
                  <c:v>43</c:v>
                </c:pt>
                <c:pt idx="6">
                  <c:v>51</c:v>
                </c:pt>
                <c:pt idx="7">
                  <c:v>59</c:v>
                </c:pt>
              </c:numCache>
            </c:numRef>
          </c:val>
        </c:ser>
        <c:ser>
          <c:idx val="4"/>
          <c:order val="4"/>
          <c:tx>
            <c:strRef>
              <c:f>Sheet1!$F$1</c:f>
              <c:strCache>
                <c:ptCount val="1"/>
                <c:pt idx="0">
                  <c:v>５年</c:v>
                </c:pt>
              </c:strCache>
            </c:strRef>
          </c:tx>
          <c:spPr>
            <a:solidFill>
              <a:srgbClr val="FFD0CB"/>
            </a:solidFill>
            <a:ln>
              <a:noFill/>
            </a:ln>
            <a:effectLst/>
          </c:spPr>
          <c:invertIfNegative val="0"/>
          <c:dPt>
            <c:idx val="1"/>
            <c:invertIfNegative val="0"/>
            <c:bubble3D val="0"/>
            <c:spPr>
              <a:solidFill>
                <a:srgbClr val="FFD0CB"/>
              </a:solidFill>
              <a:ln>
                <a:noFill/>
              </a:ln>
              <a:effectLst/>
            </c:spPr>
          </c:dPt>
          <c:dLbls>
            <c:dLbl>
              <c:idx val="1"/>
              <c:layout>
                <c:manualLayout>
                  <c:x val="-1.4134275618374601e-002"/>
                  <c:y val="0"/>
                </c:manualLayout>
              </c:layout>
              <c:spPr>
                <a:noFill/>
                <a:ln>
                  <a:noFill/>
                </a:ln>
                <a:effectLst/>
              </c:spPr>
              <c:txPr>
                <a:bodyPr rot="0" spcFirstLastPara="1" vertOverflow="ellipsis" horzOverflow="overflow" wrap="square" lIns="38100" tIns="19050" rIns="38100" bIns="19050" anchor="ctr" anchorCtr="1">
                  <a:no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layout>
                    <c:manualLayout>
                      <c:w val="3.5335689045936397e-002"/>
                      <c:h val="4.9698095680445892e-002"/>
                    </c:manualLayout>
                  </c15:layout>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Sheet1!$F$2:$F$9</c:f>
              <c:numCache>
                <c:formatCode>General</c:formatCode>
                <c:ptCount val="8"/>
                <c:pt idx="0">
                  <c:v>51</c:v>
                </c:pt>
                <c:pt idx="1">
                  <c:v>29</c:v>
                </c:pt>
                <c:pt idx="2">
                  <c:v>57</c:v>
                </c:pt>
                <c:pt idx="3">
                  <c:v>106</c:v>
                </c:pt>
                <c:pt idx="4">
                  <c:v>49</c:v>
                </c:pt>
                <c:pt idx="5">
                  <c:v>60</c:v>
                </c:pt>
                <c:pt idx="6">
                  <c:v>64</c:v>
                </c:pt>
                <c:pt idx="7">
                  <c:v>75</c:v>
                </c:pt>
              </c:numCache>
            </c:numRef>
          </c:val>
        </c:ser>
        <c:ser>
          <c:idx val="5"/>
          <c:order val="5"/>
          <c:tx>
            <c:strRef>
              <c:f>Sheet1!$G$1</c:f>
              <c:strCache>
                <c:ptCount val="1"/>
                <c:pt idx="0">
                  <c:v>６年</c:v>
                </c:pt>
              </c:strCache>
            </c:strRef>
          </c:tx>
          <c:spPr>
            <a:solidFill>
              <a:srgbClr val="DEEC88"/>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Sheet1!$G$2:$G$9</c:f>
              <c:numCache>
                <c:formatCode>General</c:formatCode>
                <c:ptCount val="8"/>
                <c:pt idx="0">
                  <c:v>54</c:v>
                </c:pt>
                <c:pt idx="1">
                  <c:v>34</c:v>
                </c:pt>
                <c:pt idx="2">
                  <c:v>54</c:v>
                </c:pt>
                <c:pt idx="3">
                  <c:v>86</c:v>
                </c:pt>
                <c:pt idx="4">
                  <c:v>48</c:v>
                </c:pt>
                <c:pt idx="5">
                  <c:v>43</c:v>
                </c:pt>
                <c:pt idx="6">
                  <c:v>65</c:v>
                </c:pt>
                <c:pt idx="7">
                  <c:v>86</c:v>
                </c:pt>
              </c:numCache>
            </c:numRef>
          </c:val>
        </c:ser>
        <c:ser>
          <c:idx val="6"/>
          <c:order val="6"/>
          <c:tx>
            <c:strRef>
              <c:f>Sheet1!$H$1</c:f>
              <c:strCache>
                <c:ptCount val="1"/>
                <c:pt idx="0">
                  <c:v>合計</c:v>
                </c:pt>
              </c:strCache>
            </c:strRef>
          </c:tx>
          <c:spPr>
            <a:no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Sheet1!$A$2:$A$9</c:f>
              <c:strCache>
                <c:ptCount val="8"/>
                <c:pt idx="0">
                  <c:v>尾崎小</c:v>
                </c:pt>
                <c:pt idx="1">
                  <c:v>西鳥取小</c:v>
                </c:pt>
                <c:pt idx="2">
                  <c:v>下荘小</c:v>
                </c:pt>
                <c:pt idx="3">
                  <c:v>東鳥取小</c:v>
                </c:pt>
                <c:pt idx="4">
                  <c:v>舞小</c:v>
                </c:pt>
                <c:pt idx="5">
                  <c:v>朝日小</c:v>
                </c:pt>
                <c:pt idx="6">
                  <c:v>上荘小</c:v>
                </c:pt>
                <c:pt idx="7">
                  <c:v>桃の木台小</c:v>
                </c:pt>
              </c:strCache>
            </c:strRef>
          </c:cat>
          <c:val>
            <c:numRef>
              <c:f>Sheet1!$H$2:$H$9</c:f>
              <c:numCache>
                <c:formatCode>General</c:formatCode>
                <c:ptCount val="8"/>
                <c:pt idx="0">
                  <c:v>288</c:v>
                </c:pt>
                <c:pt idx="1">
                  <c:v>152</c:v>
                </c:pt>
                <c:pt idx="2">
                  <c:v>307</c:v>
                </c:pt>
                <c:pt idx="3">
                  <c:v>548</c:v>
                </c:pt>
                <c:pt idx="4">
                  <c:v>234</c:v>
                </c:pt>
                <c:pt idx="5">
                  <c:v>279</c:v>
                </c:pt>
                <c:pt idx="6">
                  <c:v>352</c:v>
                </c:pt>
                <c:pt idx="7">
                  <c:v>409</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max val="600"/>
          <c:min val="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spPr>
        <a:noFill/>
        <a:ln>
          <a:noFill/>
        </a:ln>
        <a:effectLst/>
      </c:spPr>
    </c:plotArea>
    <c:legend>
      <c:legendPos val="r"/>
      <c:layout>
        <c:manualLayout>
          <c:xMode val="edge"/>
          <c:yMode val="edge"/>
          <c:x val="0.92569444444444449"/>
          <c:y val="0.1250133367475407"/>
          <c:w val="7.4305555555555555e-002"/>
          <c:h val="0.62403587443946185"/>
        </c:manualLayout>
      </c:layout>
      <c:overlay val="0"/>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14690871974329e-002"/>
          <c:y val="5.9379217273954114e-002"/>
          <c:w val="0.81000382764654399"/>
          <c:h val="0.81453876969832217"/>
        </c:manualLayout>
      </c:layout>
      <c:barChart>
        <c:barDir val="col"/>
        <c:grouping val="stacked"/>
        <c:varyColors val="0"/>
        <c:ser>
          <c:idx val="0"/>
          <c:order val="0"/>
          <c:tx>
            <c:strRef>
              <c:f>Sheet1!$B$1</c:f>
              <c:strCache>
                <c:ptCount val="1"/>
                <c:pt idx="0">
                  <c:v>１年</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鳥取中</c:v>
                </c:pt>
                <c:pt idx="1">
                  <c:v>貝掛中</c:v>
                </c:pt>
                <c:pt idx="2">
                  <c:v>鳥取東中</c:v>
                </c:pt>
                <c:pt idx="3">
                  <c:v>飯の峯中</c:v>
                </c:pt>
              </c:strCache>
            </c:strRef>
          </c:cat>
          <c:val>
            <c:numRef>
              <c:f>Sheet1!$B$2:$B$5</c:f>
              <c:numCache>
                <c:formatCode>General</c:formatCode>
                <c:ptCount val="4"/>
                <c:pt idx="0">
                  <c:v>133</c:v>
                </c:pt>
                <c:pt idx="1">
                  <c:v>90</c:v>
                </c:pt>
                <c:pt idx="2">
                  <c:v>133</c:v>
                </c:pt>
                <c:pt idx="3">
                  <c:v>70</c:v>
                </c:pt>
              </c:numCache>
            </c:numRef>
          </c:val>
        </c:ser>
        <c:ser>
          <c:idx val="1"/>
          <c:order val="1"/>
          <c:tx>
            <c:strRef>
              <c:f>Sheet1!$C$1</c:f>
              <c:strCache>
                <c:ptCount val="1"/>
                <c:pt idx="0">
                  <c:v>２年</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鳥取中</c:v>
                </c:pt>
                <c:pt idx="1">
                  <c:v>貝掛中</c:v>
                </c:pt>
                <c:pt idx="2">
                  <c:v>鳥取東中</c:v>
                </c:pt>
                <c:pt idx="3">
                  <c:v>飯の峯中</c:v>
                </c:pt>
              </c:strCache>
            </c:strRef>
          </c:cat>
          <c:val>
            <c:numRef>
              <c:f>Sheet1!$C$2:$C$5</c:f>
              <c:numCache>
                <c:formatCode>General</c:formatCode>
                <c:ptCount val="4"/>
                <c:pt idx="0">
                  <c:v>166</c:v>
                </c:pt>
                <c:pt idx="1">
                  <c:v>90</c:v>
                </c:pt>
                <c:pt idx="2">
                  <c:v>117</c:v>
                </c:pt>
                <c:pt idx="3">
                  <c:v>79</c:v>
                </c:pt>
              </c:numCache>
            </c:numRef>
          </c:val>
        </c:ser>
        <c:ser>
          <c:idx val="2"/>
          <c:order val="2"/>
          <c:tx>
            <c:strRef>
              <c:f>Sheet1!$D$1</c:f>
              <c:strCache>
                <c:ptCount val="1"/>
                <c:pt idx="0">
                  <c:v>３年</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鳥取中</c:v>
                </c:pt>
                <c:pt idx="1">
                  <c:v>貝掛中</c:v>
                </c:pt>
                <c:pt idx="2">
                  <c:v>鳥取東中</c:v>
                </c:pt>
                <c:pt idx="3">
                  <c:v>飯の峯中</c:v>
                </c:pt>
              </c:strCache>
            </c:strRef>
          </c:cat>
          <c:val>
            <c:numRef>
              <c:f>Sheet1!$D$2:$D$5</c:f>
              <c:numCache>
                <c:formatCode>General</c:formatCode>
                <c:ptCount val="4"/>
                <c:pt idx="0">
                  <c:v>145</c:v>
                </c:pt>
                <c:pt idx="1">
                  <c:v>105</c:v>
                </c:pt>
                <c:pt idx="2">
                  <c:v>132</c:v>
                </c:pt>
                <c:pt idx="3">
                  <c:v>72</c:v>
                </c:pt>
              </c:numCache>
            </c:numRef>
          </c:val>
        </c:ser>
        <c:ser>
          <c:idx val="3"/>
          <c:order val="3"/>
          <c:tx>
            <c:strRef>
              <c:f>Sheet1!$E$1</c:f>
              <c:strCache>
                <c:ptCount val="1"/>
                <c:pt idx="0">
                  <c:v>合計</c:v>
                </c:pt>
              </c:strCache>
            </c:strRef>
          </c:tx>
          <c:spPr>
            <a:no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鳥取中</c:v>
                </c:pt>
                <c:pt idx="1">
                  <c:v>貝掛中</c:v>
                </c:pt>
                <c:pt idx="2">
                  <c:v>鳥取東中</c:v>
                </c:pt>
                <c:pt idx="3">
                  <c:v>飯の峯中</c:v>
                </c:pt>
              </c:strCache>
            </c:strRef>
          </c:cat>
          <c:val>
            <c:numRef>
              <c:f>Sheet1!$E$2:$E$5</c:f>
              <c:numCache>
                <c:formatCode>General</c:formatCode>
                <c:ptCount val="4"/>
                <c:pt idx="0">
                  <c:v>444</c:v>
                </c:pt>
                <c:pt idx="1">
                  <c:v>285</c:v>
                </c:pt>
                <c:pt idx="2">
                  <c:v>382</c:v>
                </c:pt>
                <c:pt idx="3">
                  <c:v>221</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max val="500"/>
          <c:min val="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majorUnit val="100"/>
      </c:valAx>
      <c:spPr>
        <a:noFill/>
        <a:ln>
          <a:noFill/>
        </a:ln>
        <a:effectLst/>
      </c:spPr>
    </c:plotArea>
    <c:legend>
      <c:legendPos val="r"/>
      <c:layout/>
      <c:overlay val="1"/>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12839020122482e-002"/>
          <c:y val="4.3650793650793648e-002"/>
          <c:w val="0.79495753135024771"/>
          <c:h val="0.86366391701037371"/>
        </c:manualLayout>
      </c:layout>
      <c:barChart>
        <c:barDir val="col"/>
        <c:grouping val="stacked"/>
        <c:varyColors val="0"/>
        <c:ser>
          <c:idx val="0"/>
          <c:order val="0"/>
          <c:tx>
            <c:strRef>
              <c:f>Sheet1!$B$1</c:f>
              <c:strCache>
                <c:ptCount val="1"/>
                <c:pt idx="0">
                  <c:v>３歳児</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はあとり幼稚園</c:v>
                </c:pt>
                <c:pt idx="1">
                  <c:v>まい幼稚園</c:v>
                </c:pt>
                <c:pt idx="2">
                  <c:v>尾崎幼稚園</c:v>
                </c:pt>
                <c:pt idx="3">
                  <c:v>朝日幼稚園</c:v>
                </c:pt>
              </c:strCache>
            </c:strRef>
          </c:cat>
          <c:val>
            <c:numRef>
              <c:f>Sheet1!$B$2:$B$5</c:f>
              <c:numCache>
                <c:formatCode>General</c:formatCode>
                <c:ptCount val="4"/>
                <c:pt idx="0">
                  <c:v>21</c:v>
                </c:pt>
                <c:pt idx="1">
                  <c:v>18</c:v>
                </c:pt>
                <c:pt idx="2">
                  <c:v>10</c:v>
                </c:pt>
              </c:numCache>
            </c:numRef>
          </c:val>
        </c:ser>
        <c:ser>
          <c:idx val="1"/>
          <c:order val="1"/>
          <c:tx>
            <c:strRef>
              <c:f>Sheet1!$C$1</c:f>
              <c:strCache>
                <c:ptCount val="1"/>
                <c:pt idx="0">
                  <c:v>４歳児</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はあとり幼稚園</c:v>
                </c:pt>
                <c:pt idx="1">
                  <c:v>まい幼稚園</c:v>
                </c:pt>
                <c:pt idx="2">
                  <c:v>尾崎幼稚園</c:v>
                </c:pt>
                <c:pt idx="3">
                  <c:v>朝日幼稚園</c:v>
                </c:pt>
              </c:strCache>
            </c:strRef>
          </c:cat>
          <c:val>
            <c:numRef>
              <c:f>Sheet1!$C$2:$C$5</c:f>
              <c:numCache>
                <c:formatCode>General</c:formatCode>
                <c:ptCount val="4"/>
                <c:pt idx="0">
                  <c:v>21</c:v>
                </c:pt>
                <c:pt idx="1">
                  <c:v>23</c:v>
                </c:pt>
                <c:pt idx="2">
                  <c:v>9</c:v>
                </c:pt>
                <c:pt idx="3">
                  <c:v>8</c:v>
                </c:pt>
              </c:numCache>
            </c:numRef>
          </c:val>
        </c:ser>
        <c:ser>
          <c:idx val="2"/>
          <c:order val="2"/>
          <c:tx>
            <c:strRef>
              <c:f>Sheet1!$D$1</c:f>
              <c:strCache>
                <c:ptCount val="1"/>
                <c:pt idx="0">
                  <c:v>５歳児</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はあとり幼稚園</c:v>
                </c:pt>
                <c:pt idx="1">
                  <c:v>まい幼稚園</c:v>
                </c:pt>
                <c:pt idx="2">
                  <c:v>尾崎幼稚園</c:v>
                </c:pt>
                <c:pt idx="3">
                  <c:v>朝日幼稚園</c:v>
                </c:pt>
              </c:strCache>
            </c:strRef>
          </c:cat>
          <c:val>
            <c:numRef>
              <c:f>Sheet1!$D$2:$D$5</c:f>
              <c:numCache>
                <c:formatCode>General</c:formatCode>
                <c:ptCount val="4"/>
                <c:pt idx="0">
                  <c:v>28</c:v>
                </c:pt>
                <c:pt idx="1">
                  <c:v>31</c:v>
                </c:pt>
                <c:pt idx="2">
                  <c:v>16</c:v>
                </c:pt>
                <c:pt idx="3">
                  <c:v>7</c:v>
                </c:pt>
              </c:numCache>
            </c:numRef>
          </c:val>
        </c:ser>
        <c:ser>
          <c:idx val="3"/>
          <c:order val="3"/>
          <c:tx>
            <c:strRef>
              <c:f>Sheet1!$E$1</c:f>
              <c:strCache>
                <c:ptCount val="1"/>
                <c:pt idx="0">
                  <c:v>合計</c:v>
                </c:pt>
              </c:strCache>
            </c:strRef>
          </c:tx>
          <c:spPr>
            <a:noFill/>
            <a:ln>
              <a:no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Sheet1!$A$2:$A$5</c:f>
              <c:strCache>
                <c:ptCount val="4"/>
                <c:pt idx="0">
                  <c:v>はあとり幼稚園</c:v>
                </c:pt>
                <c:pt idx="1">
                  <c:v>まい幼稚園</c:v>
                </c:pt>
                <c:pt idx="2">
                  <c:v>尾崎幼稚園</c:v>
                </c:pt>
                <c:pt idx="3">
                  <c:v>朝日幼稚園</c:v>
                </c:pt>
              </c:strCache>
            </c:strRef>
          </c:cat>
          <c:val>
            <c:numRef>
              <c:f>Sheet1!$E$2:$E$5</c:f>
              <c:numCache>
                <c:formatCode>General</c:formatCode>
                <c:ptCount val="4"/>
                <c:pt idx="0">
                  <c:v>70</c:v>
                </c:pt>
                <c:pt idx="1">
                  <c:v>72</c:v>
                </c:pt>
                <c:pt idx="2">
                  <c:v>35</c:v>
                </c:pt>
                <c:pt idx="3">
                  <c:v>15</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max val="8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spPr>
        <a:noFill/>
        <a:ln>
          <a:noFill/>
        </a:ln>
        <a:effectLst/>
      </c:spPr>
    </c:plotArea>
    <c:legend>
      <c:legendPos val="r"/>
      <c:layout/>
      <c:overlay val="1"/>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児童数（人）</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Sheet1!$B$2:$B$12</c:f>
              <c:numCache>
                <c:formatCode>General</c:formatCode>
                <c:ptCount val="11"/>
                <c:pt idx="0">
                  <c:v>2872</c:v>
                </c:pt>
                <c:pt idx="1">
                  <c:v>3364</c:v>
                </c:pt>
                <c:pt idx="2">
                  <c:v>3272</c:v>
                </c:pt>
                <c:pt idx="3">
                  <c:v>3125</c:v>
                </c:pt>
                <c:pt idx="4">
                  <c:v>2987</c:v>
                </c:pt>
                <c:pt idx="5">
                  <c:v>2920</c:v>
                </c:pt>
                <c:pt idx="6">
                  <c:v>2897</c:v>
                </c:pt>
                <c:pt idx="7">
                  <c:v>2825</c:v>
                </c:pt>
                <c:pt idx="8">
                  <c:v>2734</c:v>
                </c:pt>
                <c:pt idx="9">
                  <c:v>2633</c:v>
                </c:pt>
                <c:pt idx="10">
                  <c:v>2569</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27"/>
        <c:axId val="1"/>
        <c:axId val="2"/>
      </c:barChart>
      <c:lineChart>
        <c:grouping val="standard"/>
        <c:varyColors val="0"/>
        <c:ser>
          <c:idx val="1"/>
          <c:order val="1"/>
          <c:tx>
            <c:strRef>
              <c:f>Sheet1!$C$1</c:f>
              <c:strCache>
                <c:ptCount val="1"/>
                <c:pt idx="0">
                  <c:v>学級数</c:v>
                </c:pt>
              </c:strCache>
            </c:strRef>
          </c:tx>
          <c:spPr>
            <a:noFill/>
            <a:ln w="28575" cap="rnd">
              <a:solidFill>
                <a:schemeClr val="accent2"/>
              </a:solidFill>
              <a:round/>
            </a:ln>
            <a:effectLst/>
          </c:spPr>
          <c:marker>
            <c:symbol val="none"/>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Sheet1!$C$2:$C$12</c:f>
              <c:numCache>
                <c:formatCode>General</c:formatCode>
                <c:ptCount val="11"/>
                <c:pt idx="0">
                  <c:v>117</c:v>
                </c:pt>
                <c:pt idx="1">
                  <c:v>140</c:v>
                </c:pt>
                <c:pt idx="2">
                  <c:v>133</c:v>
                </c:pt>
                <c:pt idx="3">
                  <c:v>129</c:v>
                </c:pt>
                <c:pt idx="4">
                  <c:v>124</c:v>
                </c:pt>
                <c:pt idx="5">
                  <c:v>125</c:v>
                </c:pt>
                <c:pt idx="6">
                  <c:v>122</c:v>
                </c:pt>
                <c:pt idx="7">
                  <c:v>120</c:v>
                </c:pt>
                <c:pt idx="8">
                  <c:v>121</c:v>
                </c:pt>
                <c:pt idx="9">
                  <c:v>119</c:v>
                </c:pt>
                <c:pt idx="10">
                  <c:v>120</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catAx>
        <c:axId val="11"/>
        <c:scaling>
          <c:orientation val="minMax"/>
        </c:scaling>
        <c:delete val="1"/>
        <c:axPos val="b"/>
        <c:numFmt formatCode="General" sourceLinked="1"/>
        <c:majorTickMark val="out"/>
        <c:minorTickMark val="none"/>
        <c:tickLblPos val="nextTo"/>
        <c:txPr>
          <a:bodyPr rot="-60000000" spcFirstLastPara="1" vertOverflow="ellipsis" horzOverflow="overflow" wrap="square" anchor="ctr" anchorCtr="1"/>
          <a:lstStyle/>
          <a:p>
            <a:pPr algn="ctr" rtl="0">
              <a:defRPr lang="ja-JP" altLang="en-US" sz="1000">
                <a:solidFill>
                  <a:schemeClr val="tx1"/>
                </a:solidFill>
              </a:defRPr>
            </a:pPr>
            <a:endParaRPr lang="ja-JP" altLang="en-US"/>
          </a:p>
        </c:txPr>
        <c:crossAx val="12"/>
        <c:crosses val="autoZero"/>
        <c:auto val="1"/>
        <c:lblAlgn val="ctr"/>
        <c:lblOffset val="100"/>
        <c:noMultiLvlLbl val="0"/>
      </c:catAx>
      <c:valAx>
        <c:axId val="12"/>
        <c:scaling>
          <c:orientation val="minMax"/>
          <c:max val="200"/>
          <c:min val="0"/>
        </c:scaling>
        <c:delete val="0"/>
        <c:axPos val="r"/>
        <c:numFmt formatCode="General"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生徒数（人）</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Sheet1!$B$2:$B$12</c:f>
              <c:numCache>
                <c:formatCode>General</c:formatCode>
                <c:ptCount val="11"/>
                <c:pt idx="0">
                  <c:v>1698</c:v>
                </c:pt>
                <c:pt idx="1">
                  <c:v>1752</c:v>
                </c:pt>
                <c:pt idx="2">
                  <c:v>1722</c:v>
                </c:pt>
                <c:pt idx="3">
                  <c:v>1755</c:v>
                </c:pt>
                <c:pt idx="4">
                  <c:v>1675</c:v>
                </c:pt>
                <c:pt idx="5">
                  <c:v>1606</c:v>
                </c:pt>
                <c:pt idx="6">
                  <c:v>1514</c:v>
                </c:pt>
                <c:pt idx="7">
                  <c:v>1410</c:v>
                </c:pt>
                <c:pt idx="8">
                  <c:v>1387</c:v>
                </c:pt>
                <c:pt idx="9">
                  <c:v>1350</c:v>
                </c:pt>
                <c:pt idx="10">
                  <c:v>1332</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27"/>
        <c:axId val="1"/>
        <c:axId val="2"/>
      </c:barChart>
      <c:lineChart>
        <c:grouping val="standard"/>
        <c:varyColors val="0"/>
        <c:ser>
          <c:idx val="1"/>
          <c:order val="1"/>
          <c:tx>
            <c:strRef>
              <c:f>Sheet1!$C$1</c:f>
              <c:strCache>
                <c:ptCount val="1"/>
                <c:pt idx="0">
                  <c:v>学級数</c:v>
                </c:pt>
              </c:strCache>
            </c:strRef>
          </c:tx>
          <c:spPr>
            <a:noFill/>
            <a:ln w="28575" cap="rnd">
              <a:solidFill>
                <a:schemeClr val="accent2"/>
              </a:solidFill>
              <a:round/>
            </a:ln>
            <a:effectLst/>
          </c:spPr>
          <c:marker>
            <c:symbol val="none"/>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Sheet1!$C$2:$C$12</c:f>
              <c:numCache>
                <c:formatCode>General</c:formatCode>
                <c:ptCount val="11"/>
                <c:pt idx="0">
                  <c:v>57</c:v>
                </c:pt>
                <c:pt idx="1">
                  <c:v>57</c:v>
                </c:pt>
                <c:pt idx="2">
                  <c:v>55</c:v>
                </c:pt>
                <c:pt idx="3">
                  <c:v>54</c:v>
                </c:pt>
                <c:pt idx="4">
                  <c:v>56</c:v>
                </c:pt>
                <c:pt idx="5">
                  <c:v>55</c:v>
                </c:pt>
                <c:pt idx="6">
                  <c:v>51</c:v>
                </c:pt>
                <c:pt idx="7">
                  <c:v>49</c:v>
                </c:pt>
                <c:pt idx="8">
                  <c:v>49</c:v>
                </c:pt>
                <c:pt idx="9">
                  <c:v>50</c:v>
                </c:pt>
                <c:pt idx="10">
                  <c:v>51</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catAx>
        <c:axId val="11"/>
        <c:scaling>
          <c:orientation val="minMax"/>
        </c:scaling>
        <c:delete val="1"/>
        <c:axPos val="b"/>
        <c:numFmt formatCode="General" sourceLinked="1"/>
        <c:majorTickMark val="out"/>
        <c:minorTickMark val="none"/>
        <c:tickLblPos val="nextTo"/>
        <c:txPr>
          <a:bodyPr rot="-60000000" spcFirstLastPara="1" vertOverflow="ellipsis" horzOverflow="overflow" wrap="square" anchor="ctr" anchorCtr="1"/>
          <a:lstStyle/>
          <a:p>
            <a:pPr algn="ctr" rtl="0">
              <a:defRPr lang="ja-JP" altLang="en-US" sz="1000">
                <a:solidFill>
                  <a:schemeClr val="tx1"/>
                </a:solidFill>
              </a:defRPr>
            </a:pPr>
            <a:endParaRPr lang="ja-JP" altLang="en-US"/>
          </a:p>
        </c:txPr>
        <c:crossAx val="12"/>
        <c:crosses val="autoZero"/>
        <c:auto val="1"/>
        <c:lblAlgn val="ctr"/>
        <c:lblOffset val="100"/>
        <c:noMultiLvlLbl val="0"/>
      </c:catAx>
      <c:valAx>
        <c:axId val="12"/>
        <c:scaling>
          <c:orientation val="minMax"/>
          <c:max val="100"/>
          <c:min val="0"/>
        </c:scaling>
        <c:delete val="0"/>
        <c:axPos val="r"/>
        <c:numFmt formatCode="General"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園児数（人）</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Sheet1!$B$2:$B$12</c:f>
              <c:numCache>
                <c:formatCode>General</c:formatCode>
                <c:ptCount val="11"/>
                <c:pt idx="0">
                  <c:v>472</c:v>
                </c:pt>
                <c:pt idx="1">
                  <c:v>446</c:v>
                </c:pt>
                <c:pt idx="2">
                  <c:v>444</c:v>
                </c:pt>
                <c:pt idx="3">
                  <c:v>431</c:v>
                </c:pt>
                <c:pt idx="4">
                  <c:v>428</c:v>
                </c:pt>
                <c:pt idx="5">
                  <c:v>404</c:v>
                </c:pt>
                <c:pt idx="6">
                  <c:v>333</c:v>
                </c:pt>
                <c:pt idx="7">
                  <c:v>293</c:v>
                </c:pt>
                <c:pt idx="8">
                  <c:v>249</c:v>
                </c:pt>
                <c:pt idx="9">
                  <c:v>227</c:v>
                </c:pt>
                <c:pt idx="10">
                  <c:v>192</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Sheet1!$C$1</c:f>
              <c:strCache>
                <c:ptCount val="1"/>
                <c:pt idx="0">
                  <c:v>学級数</c:v>
                </c:pt>
              </c:strCache>
            </c:strRef>
          </c:tx>
          <c:spPr>
            <a:noFill/>
            <a:ln w="28575" cap="rnd">
              <a:solidFill>
                <a:schemeClr val="accent2"/>
              </a:solidFill>
              <a:round/>
            </a:ln>
            <a:effectLst/>
          </c:spPr>
          <c:marker>
            <c:symbol val="none"/>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mn-ea"/>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Sheet1!$A$2:$A$12</c:f>
              <c:strCache>
                <c:ptCount val="11"/>
                <c:pt idx="0">
                  <c:v>H22
(2010)</c:v>
                </c:pt>
                <c:pt idx="1">
                  <c:v>H23
(2011)</c:v>
                </c:pt>
                <c:pt idx="2">
                  <c:v>H24
(2012)</c:v>
                </c:pt>
                <c:pt idx="3">
                  <c:v>H25
(2013)</c:v>
                </c:pt>
                <c:pt idx="4">
                  <c:v>H26
(2014)</c:v>
                </c:pt>
                <c:pt idx="5">
                  <c:v>H27
(2015)</c:v>
                </c:pt>
                <c:pt idx="6">
                  <c:v>H28
(2016)</c:v>
                </c:pt>
                <c:pt idx="7">
                  <c:v>H29
(2017)</c:v>
                </c:pt>
                <c:pt idx="8">
                  <c:v>H30
(2018)</c:v>
                </c:pt>
                <c:pt idx="9">
                  <c:v>R1
(2019)</c:v>
                </c:pt>
                <c:pt idx="10">
                  <c:v>R2
(2020)</c:v>
                </c:pt>
              </c:strCache>
            </c:strRef>
          </c:cat>
          <c:val>
            <c:numRef>
              <c:f>Sheet1!$C$2:$C$12</c:f>
              <c:numCache>
                <c:formatCode>General</c:formatCode>
                <c:ptCount val="11"/>
                <c:pt idx="0">
                  <c:v>20</c:v>
                </c:pt>
                <c:pt idx="1">
                  <c:v>18</c:v>
                </c:pt>
                <c:pt idx="2">
                  <c:v>18</c:v>
                </c:pt>
                <c:pt idx="3">
                  <c:v>18</c:v>
                </c:pt>
                <c:pt idx="4">
                  <c:v>18</c:v>
                </c:pt>
                <c:pt idx="5">
                  <c:v>18</c:v>
                </c:pt>
                <c:pt idx="6">
                  <c:v>17</c:v>
                </c:pt>
                <c:pt idx="7">
                  <c:v>14</c:v>
                </c:pt>
                <c:pt idx="8">
                  <c:v>14</c:v>
                </c:pt>
                <c:pt idx="9">
                  <c:v>13</c:v>
                </c:pt>
                <c:pt idx="10">
                  <c:v>11</c:v>
                </c:pt>
              </c:numCache>
            </c:numRef>
          </c:val>
          <c:smooth val="0"/>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max val="50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catAx>
        <c:axId val="11"/>
        <c:scaling>
          <c:orientation val="minMax"/>
        </c:scaling>
        <c:delete val="1"/>
        <c:axPos val="b"/>
        <c:numFmt formatCode="General" sourceLinked="1"/>
        <c:majorTickMark val="out"/>
        <c:minorTickMark val="none"/>
        <c:tickLblPos val="nextTo"/>
        <c:txPr>
          <a:bodyPr rot="-60000000" spcFirstLastPara="1" vertOverflow="ellipsis" horzOverflow="overflow" wrap="square" anchor="ctr" anchorCtr="1"/>
          <a:lstStyle/>
          <a:p>
            <a:pPr algn="ctr" rtl="0">
              <a:defRPr lang="ja-JP" altLang="en-US" sz="1000">
                <a:solidFill>
                  <a:schemeClr val="tx1"/>
                </a:solidFill>
              </a:defRPr>
            </a:pPr>
            <a:endParaRPr lang="ja-JP" altLang="en-US"/>
          </a:p>
        </c:txPr>
        <c:crossAx val="12"/>
        <c:crosses val="autoZero"/>
        <c:auto val="1"/>
        <c:lblAlgn val="ctr"/>
        <c:lblOffset val="100"/>
        <c:noMultiLvlLbl val="0"/>
      </c:catAx>
      <c:valAx>
        <c:axId val="12"/>
        <c:scaling>
          <c:orientation val="minMax"/>
          <c:max val="50"/>
        </c:scaling>
        <c:delete val="0"/>
        <c:axPos val="r"/>
        <c:numFmt formatCode="General"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mn-ea"/>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1417591572385"/>
          <c:y val="4.3650793650793648e-002"/>
          <c:w val="0.85338457266220558"/>
          <c:h val="0.80621052803182214"/>
        </c:manualLayout>
      </c:layout>
      <c:barChart>
        <c:barDir val="col"/>
        <c:grouping val="stacked"/>
        <c:varyColors val="0"/>
        <c:ser>
          <c:idx val="0"/>
          <c:order val="0"/>
          <c:tx>
            <c:strRef>
              <c:f>Sheet1!$B$1</c:f>
              <c:strCache>
                <c:ptCount val="1"/>
                <c:pt idx="0">
                  <c:v>施設整備費</c:v>
                </c:pt>
              </c:strCache>
            </c:strRef>
          </c:tx>
          <c:spPr>
            <a:solidFill>
              <a:schemeClr val="accent1">
                <a:lumMod val="40000"/>
                <a:lumOff val="60000"/>
              </a:schemeClr>
            </a:solidFill>
            <a:ln>
              <a:noFill/>
            </a:ln>
            <a:effectLst/>
          </c:spPr>
          <c:invertIfNegative val="0"/>
          <c:dPt>
            <c:idx val="3"/>
            <c:invertIfNegative val="0"/>
            <c:bubble3D val="0"/>
            <c:spPr>
              <a:solidFill>
                <a:schemeClr val="accent1">
                  <a:lumMod val="40000"/>
                  <a:lumOff val="60000"/>
                </a:schemeClr>
              </a:solidFill>
              <a:ln>
                <a:noFill/>
              </a:ln>
              <a:effectLst/>
            </c:spPr>
          </c:dPt>
          <c:dLbls>
            <c:dLbl>
              <c:idx val="3"/>
              <c:delete val="1"/>
            </c:dLbl>
            <c:numFmt formatCode="#,##0_);[Red]\(#,##0\)" sourceLinked="0"/>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Sheet1!$A$2:$A$7</c:f>
              <c:strCache>
                <c:ptCount val="6"/>
                <c:pt idx="0">
                  <c:v>H27
(2015)</c:v>
                </c:pt>
                <c:pt idx="1">
                  <c:v>H28
(2016)</c:v>
                </c:pt>
                <c:pt idx="2">
                  <c:v>H29
(2017)</c:v>
                </c:pt>
                <c:pt idx="3">
                  <c:v>H30
(2018)</c:v>
                </c:pt>
                <c:pt idx="4">
                  <c:v>R1
(2019)</c:v>
                </c:pt>
                <c:pt idx="5">
                  <c:v>平均</c:v>
                </c:pt>
              </c:strCache>
            </c:strRef>
          </c:cat>
          <c:val>
            <c:numRef>
              <c:f>Sheet1!$B$2:$B$7</c:f>
              <c:numCache>
                <c:formatCode>General</c:formatCode>
                <c:ptCount val="6"/>
                <c:pt idx="0">
                  <c:v>637417</c:v>
                </c:pt>
                <c:pt idx="1">
                  <c:v>648756</c:v>
                </c:pt>
                <c:pt idx="2">
                  <c:v>1126957</c:v>
                </c:pt>
                <c:pt idx="3">
                  <c:v>12096</c:v>
                </c:pt>
                <c:pt idx="4">
                  <c:v>437527</c:v>
                </c:pt>
                <c:pt idx="5">
                  <c:v>572551</c:v>
                </c:pt>
              </c:numCache>
            </c:numRef>
          </c:val>
        </c:ser>
        <c:ser>
          <c:idx val="1"/>
          <c:order val="1"/>
          <c:tx>
            <c:strRef>
              <c:f>Sheet1!$C$1</c:f>
              <c:strCache>
                <c:ptCount val="1"/>
                <c:pt idx="0">
                  <c:v>維持修繕費</c:v>
                </c:pt>
              </c:strCache>
            </c:strRef>
          </c:tx>
          <c:spPr>
            <a:solidFill>
              <a:schemeClr val="accent2"/>
            </a:solidFill>
            <a:ln>
              <a:noFill/>
            </a:ln>
            <a:effectLst/>
          </c:spPr>
          <c:invertIfNegative val="0"/>
          <c:dPt>
            <c:idx val="3"/>
            <c:invertIfNegative val="0"/>
            <c:bubble3D val="0"/>
            <c:spPr>
              <a:solidFill>
                <a:schemeClr val="accent2"/>
              </a:solidFill>
              <a:ln>
                <a:noFill/>
              </a:ln>
              <a:effectLst/>
            </c:spPr>
          </c:dPt>
          <c:dLbls>
            <c:dLbl>
              <c:idx val="3"/>
              <c:delete val="1"/>
            </c:dLbl>
            <c:numFmt formatCode="#,##0_);[Red]\(#,##0\)" sourceLinked="0"/>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End"/>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Sheet1!$A$2:$A$7</c:f>
              <c:strCache>
                <c:ptCount val="6"/>
                <c:pt idx="0">
                  <c:v>H27
(2015)</c:v>
                </c:pt>
                <c:pt idx="1">
                  <c:v>H28
(2016)</c:v>
                </c:pt>
                <c:pt idx="2">
                  <c:v>H29
(2017)</c:v>
                </c:pt>
                <c:pt idx="3">
                  <c:v>H30
(2018)</c:v>
                </c:pt>
                <c:pt idx="4">
                  <c:v>R1
(2019)</c:v>
                </c:pt>
                <c:pt idx="5">
                  <c:v>平均</c:v>
                </c:pt>
              </c:strCache>
            </c:strRef>
          </c:cat>
          <c:val>
            <c:numRef>
              <c:f>Sheet1!$C$2:$C$7</c:f>
              <c:numCache>
                <c:formatCode>General</c:formatCode>
                <c:ptCount val="6"/>
                <c:pt idx="0">
                  <c:v>34584</c:v>
                </c:pt>
                <c:pt idx="1">
                  <c:v>30382</c:v>
                </c:pt>
                <c:pt idx="2">
                  <c:v>22135</c:v>
                </c:pt>
                <c:pt idx="3">
                  <c:v>16022</c:v>
                </c:pt>
                <c:pt idx="4">
                  <c:v>17143</c:v>
                </c:pt>
                <c:pt idx="5">
                  <c:v>24053</c:v>
                </c:pt>
              </c:numCache>
            </c:numRef>
          </c:val>
        </c:ser>
        <c:ser>
          <c:idx val="2"/>
          <c:order val="2"/>
          <c:tx>
            <c:strRef>
              <c:f>Sheet1!$D$1</c:f>
              <c:strCache>
                <c:ptCount val="1"/>
                <c:pt idx="0">
                  <c:v>光熱水費</c:v>
                </c:pt>
              </c:strCache>
            </c:strRef>
          </c:tx>
          <c:spPr>
            <a:solidFill>
              <a:schemeClr val="accent3"/>
            </a:solidFill>
            <a:ln>
              <a:noFill/>
            </a:ln>
            <a:effectLst/>
          </c:spPr>
          <c:invertIfNegative val="0"/>
          <c:dPt>
            <c:idx val="3"/>
            <c:invertIfNegative val="0"/>
            <c:bubble3D val="0"/>
            <c:spPr>
              <a:solidFill>
                <a:schemeClr val="accent3"/>
              </a:solidFill>
              <a:ln>
                <a:noFill/>
              </a:ln>
              <a:effectLst/>
            </c:spPr>
          </c:dPt>
          <c:dLbls>
            <c:dLbl>
              <c:idx val="3"/>
              <c:delete val="1"/>
            </c:dLbl>
            <c:numFmt formatCode="#,##0_);[Red]\(#,##0\)" sourceLinked="0"/>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Sheet1!$A$2:$A$7</c:f>
              <c:strCache>
                <c:ptCount val="6"/>
                <c:pt idx="0">
                  <c:v>H27
(2015)</c:v>
                </c:pt>
                <c:pt idx="1">
                  <c:v>H28
(2016)</c:v>
                </c:pt>
                <c:pt idx="2">
                  <c:v>H29
(2017)</c:v>
                </c:pt>
                <c:pt idx="3">
                  <c:v>H30
(2018)</c:v>
                </c:pt>
                <c:pt idx="4">
                  <c:v>R1
(2019)</c:v>
                </c:pt>
                <c:pt idx="5">
                  <c:v>平均</c:v>
                </c:pt>
              </c:strCache>
            </c:strRef>
          </c:cat>
          <c:val>
            <c:numRef>
              <c:f>Sheet1!$D$2:$D$7</c:f>
              <c:numCache>
                <c:formatCode>General</c:formatCode>
                <c:ptCount val="6"/>
                <c:pt idx="0">
                  <c:v>104646</c:v>
                </c:pt>
                <c:pt idx="1">
                  <c:v>96648</c:v>
                </c:pt>
                <c:pt idx="2">
                  <c:v>97235</c:v>
                </c:pt>
                <c:pt idx="3">
                  <c:v>112388</c:v>
                </c:pt>
                <c:pt idx="4">
                  <c:v>106578</c:v>
                </c:pt>
                <c:pt idx="5">
                  <c:v>103499</c:v>
                </c:pt>
              </c:numCache>
            </c:numRef>
          </c:val>
        </c:ser>
        <c:ser>
          <c:idx val="3"/>
          <c:order val="3"/>
          <c:tx>
            <c:strRef>
              <c:f>Sheet1!$E$1</c:f>
              <c:strCache>
                <c:ptCount val="1"/>
                <c:pt idx="0">
                  <c:v>合計</c:v>
                </c:pt>
              </c:strCache>
            </c:strRef>
          </c:tx>
          <c:spPr>
            <a:noFill/>
            <a:ln>
              <a:noFill/>
            </a:ln>
            <a:effectLst/>
          </c:spPr>
          <c:invertIfNegative val="0"/>
          <c:dLbls>
            <c:numFmt formatCode="#,##0_);[Red]\(#,##0\)" sourceLinked="0"/>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ゴシック"/>
                    <a:ea typeface="ＭＳ Ｐ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Sheet1!$A$2:$A$7</c:f>
              <c:strCache>
                <c:ptCount val="6"/>
                <c:pt idx="0">
                  <c:v>H27
(2015)</c:v>
                </c:pt>
                <c:pt idx="1">
                  <c:v>H28
(2016)</c:v>
                </c:pt>
                <c:pt idx="2">
                  <c:v>H29
(2017)</c:v>
                </c:pt>
                <c:pt idx="3">
                  <c:v>H30
(2018)</c:v>
                </c:pt>
                <c:pt idx="4">
                  <c:v>R1
(2019)</c:v>
                </c:pt>
                <c:pt idx="5">
                  <c:v>平均</c:v>
                </c:pt>
              </c:strCache>
            </c:strRef>
          </c:cat>
          <c:val>
            <c:numRef>
              <c:f>Sheet1!$E$2:$E$7</c:f>
              <c:numCache>
                <c:formatCode>General</c:formatCode>
                <c:ptCount val="6"/>
                <c:pt idx="0">
                  <c:v>776648</c:v>
                </c:pt>
                <c:pt idx="1">
                  <c:v>775786</c:v>
                </c:pt>
                <c:pt idx="2">
                  <c:v>1246327</c:v>
                </c:pt>
                <c:pt idx="3">
                  <c:v>140507</c:v>
                </c:pt>
                <c:pt idx="4">
                  <c:v>561248</c:v>
                </c:pt>
                <c:pt idx="5">
                  <c:v>700103</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2"/>
        <c:crosses val="autoZero"/>
        <c:auto val="1"/>
        <c:lblAlgn val="ctr"/>
        <c:lblOffset val="100"/>
        <c:noMultiLvlLbl val="0"/>
      </c:catAx>
      <c:valAx>
        <c:axId val="2"/>
        <c:scaling>
          <c:orientation val="minMax"/>
          <c:max val="1500000"/>
          <c:min val="0"/>
        </c:scaling>
        <c:delete val="0"/>
        <c:axPos val="l"/>
        <c:majorGridlines>
          <c:spPr>
            <a:noFill/>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crossAx val="1"/>
        <c:crosses val="autoZero"/>
        <c:crossBetween val="between"/>
      </c:valAx>
      <c:spPr>
        <a:noFill/>
        <a:ln>
          <a:noFill/>
        </a:ln>
        <a:effectLst/>
      </c:spPr>
    </c:plotArea>
    <c:legend>
      <c:legendPos val="tr"/>
      <c:layout/>
      <c:overlay val="0"/>
      <c:spPr>
        <a:noFill/>
        <a:ln>
          <a:noFill/>
        </a:ln>
        <a:effectLst/>
      </c:spPr>
      <c:txPr>
        <a:bodyPr rot="0" spcFirstLastPara="1" vertOverflow="ellipsis" horzOverflow="overflow" wrap="square" anchor="ctr" anchorCtr="1"/>
        <a:lstStyle/>
        <a:p>
          <a:pPr algn="l" rtl="0">
            <a:defRPr lang="ja-JP" altLang="en-US" sz="900" b="0" i="0" u="none" strike="noStrike" kern="1200" baseline="0">
              <a:solidFill>
                <a:schemeClr val="tx1">
                  <a:lumMod val="65000"/>
                  <a:lumOff val="35000"/>
                </a:schemeClr>
              </a:solidFill>
              <a:latin typeface="ＭＳ Ｐゴシック"/>
              <a:ea typeface="ＭＳ Ｐゴシック"/>
              <a:cs typeface="+mn-cs"/>
            </a:defRPr>
          </a:pPr>
          <a:endParaRPr lang="ja-JP" alt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5466</TotalTime>
  <Pages>63</Pages>
  <Words>951</Words>
  <Characters>18728</Characters>
  <Application>Microsoft Office Word</Application>
  <Lines>46625</Lines>
  <Paragraphs>1106</Paragraphs>
  <CharactersWithSpaces>19065</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2021-06-04T05:24:00Z</cp:lastPrinted>
  <dcterms:created xsi:type="dcterms:W3CDTF">2020-09-26T04:47:00Z</dcterms:created>
  <dcterms:modified xsi:type="dcterms:W3CDTF">2021-03-07T07:25:01Z</dcterms:modified>
  <cp:revision>182</cp:revision>
</cp:coreProperties>
</file>